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30A7" w14:textId="77777777" w:rsidR="003C10E7" w:rsidRDefault="003C10E7" w:rsidP="003C10E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B08032" w14:textId="77777777" w:rsidR="00402F60" w:rsidRDefault="003C10E7" w:rsidP="003C10E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C10E7"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="00402F60">
        <w:rPr>
          <w:rFonts w:ascii="Arial" w:hAnsi="Arial" w:cs="Arial"/>
          <w:b/>
          <w:bCs/>
          <w:sz w:val="22"/>
          <w:szCs w:val="22"/>
          <w:u w:val="single"/>
        </w:rPr>
        <w:t xml:space="preserve">ssex 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402F60">
        <w:rPr>
          <w:rFonts w:ascii="Arial" w:hAnsi="Arial" w:cs="Arial"/>
          <w:b/>
          <w:bCs/>
          <w:sz w:val="22"/>
          <w:szCs w:val="22"/>
          <w:u w:val="single"/>
        </w:rPr>
        <w:t xml:space="preserve">afeguarding 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402F60">
        <w:rPr>
          <w:rFonts w:ascii="Arial" w:hAnsi="Arial" w:cs="Arial"/>
          <w:b/>
          <w:bCs/>
          <w:sz w:val="22"/>
          <w:szCs w:val="22"/>
          <w:u w:val="single"/>
        </w:rPr>
        <w:t xml:space="preserve">dults 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="00402F60">
        <w:rPr>
          <w:rFonts w:ascii="Arial" w:hAnsi="Arial" w:cs="Arial"/>
          <w:b/>
          <w:bCs/>
          <w:sz w:val="22"/>
          <w:szCs w:val="22"/>
          <w:u w:val="single"/>
        </w:rPr>
        <w:t>oard (ESAB)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1D95B77" w14:textId="3042A0E4" w:rsidR="003C10E7" w:rsidRPr="003C10E7" w:rsidRDefault="003C10E7" w:rsidP="003C10E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C10E7">
        <w:rPr>
          <w:rFonts w:ascii="Arial" w:hAnsi="Arial" w:cs="Arial"/>
          <w:b/>
          <w:bCs/>
          <w:sz w:val="22"/>
          <w:szCs w:val="22"/>
          <w:u w:val="single"/>
        </w:rPr>
        <w:t>Ben S</w:t>
      </w:r>
      <w:r w:rsidR="00402F60">
        <w:rPr>
          <w:rFonts w:ascii="Arial" w:hAnsi="Arial" w:cs="Arial"/>
          <w:b/>
          <w:bCs/>
          <w:sz w:val="22"/>
          <w:szCs w:val="22"/>
          <w:u w:val="single"/>
        </w:rPr>
        <w:t xml:space="preserve">afeguarding 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402F60">
        <w:rPr>
          <w:rFonts w:ascii="Arial" w:hAnsi="Arial" w:cs="Arial"/>
          <w:b/>
          <w:bCs/>
          <w:sz w:val="22"/>
          <w:szCs w:val="22"/>
          <w:u w:val="single"/>
        </w:rPr>
        <w:t xml:space="preserve">dult 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>R</w:t>
      </w:r>
      <w:r w:rsidR="00402F60">
        <w:rPr>
          <w:rFonts w:ascii="Arial" w:hAnsi="Arial" w:cs="Arial"/>
          <w:b/>
          <w:bCs/>
          <w:sz w:val="22"/>
          <w:szCs w:val="22"/>
          <w:u w:val="single"/>
        </w:rPr>
        <w:t>eview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 xml:space="preserve"> 2025</w:t>
      </w:r>
    </w:p>
    <w:p w14:paraId="0A9682E1" w14:textId="387CE9EB" w:rsidR="003C10E7" w:rsidRDefault="003C10E7" w:rsidP="003C10E7">
      <w:pPr>
        <w:jc w:val="center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 xml:space="preserve">Ben was a young white British man in his early twenties who had care and support needs and was dependent upon others to live. He died in February 2021. </w:t>
      </w:r>
      <w:r w:rsidR="00402F60">
        <w:rPr>
          <w:rFonts w:ascii="Arial" w:hAnsi="Arial" w:cs="Arial"/>
          <w:sz w:val="22"/>
          <w:szCs w:val="22"/>
        </w:rPr>
        <w:t>HM C</w:t>
      </w:r>
      <w:r w:rsidRPr="003C10E7">
        <w:rPr>
          <w:rFonts w:ascii="Arial" w:hAnsi="Arial" w:cs="Arial"/>
          <w:sz w:val="22"/>
          <w:szCs w:val="22"/>
        </w:rPr>
        <w:t>oroner recorded the cause of death as being due to natural causes. A S</w:t>
      </w:r>
      <w:r w:rsidR="00402F60">
        <w:rPr>
          <w:rFonts w:ascii="Arial" w:hAnsi="Arial" w:cs="Arial"/>
          <w:sz w:val="22"/>
          <w:szCs w:val="22"/>
        </w:rPr>
        <w:t xml:space="preserve">afeguarding </w:t>
      </w:r>
      <w:r w:rsidRPr="003C10E7">
        <w:rPr>
          <w:rFonts w:ascii="Arial" w:hAnsi="Arial" w:cs="Arial"/>
          <w:sz w:val="22"/>
          <w:szCs w:val="22"/>
        </w:rPr>
        <w:t>A</w:t>
      </w:r>
      <w:r w:rsidR="00402F60">
        <w:rPr>
          <w:rFonts w:ascii="Arial" w:hAnsi="Arial" w:cs="Arial"/>
          <w:sz w:val="22"/>
          <w:szCs w:val="22"/>
        </w:rPr>
        <w:t xml:space="preserve">dult </w:t>
      </w:r>
      <w:r w:rsidRPr="003C10E7">
        <w:rPr>
          <w:rFonts w:ascii="Arial" w:hAnsi="Arial" w:cs="Arial"/>
          <w:sz w:val="22"/>
          <w:szCs w:val="22"/>
        </w:rPr>
        <w:t>R</w:t>
      </w:r>
      <w:r w:rsidR="00402F60">
        <w:rPr>
          <w:rFonts w:ascii="Arial" w:hAnsi="Arial" w:cs="Arial"/>
          <w:sz w:val="22"/>
          <w:szCs w:val="22"/>
        </w:rPr>
        <w:t>eview (SAR)</w:t>
      </w:r>
      <w:r w:rsidRPr="003C10E7">
        <w:rPr>
          <w:rFonts w:ascii="Arial" w:hAnsi="Arial" w:cs="Arial"/>
          <w:sz w:val="22"/>
          <w:szCs w:val="22"/>
        </w:rPr>
        <w:t xml:space="preserve"> was conducted due to the circumstances of Ben's health, and impact of Covid-19, in the lead up to Ben's death. </w:t>
      </w:r>
    </w:p>
    <w:p w14:paraId="30711B92" w14:textId="509E67AA" w:rsidR="003C10E7" w:rsidRDefault="003C10E7" w:rsidP="003C10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Links to the full SAR report and the </w:t>
      </w:r>
      <w:r w:rsidR="00402F60">
        <w:rPr>
          <w:rFonts w:ascii="Arial" w:hAnsi="Arial" w:cs="Arial"/>
          <w:sz w:val="22"/>
          <w:szCs w:val="22"/>
        </w:rPr>
        <w:t xml:space="preserve">ESAB </w:t>
      </w:r>
      <w:r>
        <w:rPr>
          <w:rFonts w:ascii="Arial" w:hAnsi="Arial" w:cs="Arial"/>
          <w:sz w:val="22"/>
          <w:szCs w:val="22"/>
        </w:rPr>
        <w:t xml:space="preserve">Learning Brief can be located here </w:t>
      </w:r>
    </w:p>
    <w:p w14:paraId="7001C495" w14:textId="2453DCF0" w:rsidR="003C10E7" w:rsidRDefault="003C10E7" w:rsidP="003C10E7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3C10E7">
          <w:rPr>
            <w:rStyle w:val="Hyperlink"/>
            <w:rFonts w:ascii="Arial" w:hAnsi="Arial" w:cs="Arial"/>
            <w:sz w:val="22"/>
            <w:szCs w:val="22"/>
          </w:rPr>
          <w:t>ESAB Ben SAR 2025 | Essex SAB</w:t>
        </w:r>
      </w:hyperlink>
    </w:p>
    <w:p w14:paraId="490BC127" w14:textId="77777777" w:rsidR="003C10E7" w:rsidRDefault="003C10E7" w:rsidP="003C10E7">
      <w:pPr>
        <w:jc w:val="center"/>
        <w:rPr>
          <w:rFonts w:ascii="Arial" w:hAnsi="Arial" w:cs="Arial"/>
          <w:sz w:val="22"/>
          <w:szCs w:val="22"/>
        </w:rPr>
      </w:pPr>
    </w:p>
    <w:p w14:paraId="3EA209E6" w14:textId="182D8DED" w:rsidR="003C10E7" w:rsidRDefault="003C10E7" w:rsidP="003C10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of the key agency recommendations from this Safeguarding Adult Review </w:t>
      </w:r>
      <w:proofErr w:type="gramStart"/>
      <w:r>
        <w:rPr>
          <w:rFonts w:ascii="Arial" w:hAnsi="Arial" w:cs="Arial"/>
          <w:sz w:val="22"/>
          <w:szCs w:val="22"/>
        </w:rPr>
        <w:t>was;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417E449" w14:textId="26B048D1" w:rsidR="003C10E7" w:rsidRDefault="003C10E7" w:rsidP="003C10E7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402F60">
        <w:rPr>
          <w:rFonts w:ascii="Arial" w:hAnsi="Arial" w:cs="Arial"/>
          <w:b/>
          <w:bCs/>
          <w:i/>
          <w:iCs/>
          <w:sz w:val="22"/>
          <w:szCs w:val="22"/>
        </w:rPr>
        <w:t>All agencies working with adults being cared for in their own homes (by informal carers) must embed the learning from Safe Care at Home Review and provide assurance to ESAB.</w:t>
      </w:r>
    </w:p>
    <w:p w14:paraId="77738EEF" w14:textId="77777777" w:rsidR="00402F60" w:rsidRPr="00402F60" w:rsidRDefault="00402F60" w:rsidP="00402F60">
      <w:pPr>
        <w:jc w:val="center"/>
        <w:rPr>
          <w:rFonts w:ascii="Arial" w:hAnsi="Arial" w:cs="Arial"/>
          <w:sz w:val="22"/>
          <w:szCs w:val="22"/>
        </w:rPr>
      </w:pPr>
      <w:r w:rsidRPr="00402F60">
        <w:rPr>
          <w:rFonts w:ascii="Arial" w:hAnsi="Arial" w:cs="Arial"/>
          <w:sz w:val="22"/>
          <w:szCs w:val="22"/>
        </w:rPr>
        <w:t xml:space="preserve">The full report is accessible here: </w:t>
      </w:r>
    </w:p>
    <w:p w14:paraId="273F6288" w14:textId="77777777" w:rsidR="00402F60" w:rsidRPr="003C10E7" w:rsidRDefault="00402F60" w:rsidP="00402F60">
      <w:pPr>
        <w:jc w:val="center"/>
        <w:rPr>
          <w:rFonts w:ascii="Arial" w:hAnsi="Arial" w:cs="Arial"/>
          <w:i/>
          <w:iCs/>
          <w:sz w:val="22"/>
          <w:szCs w:val="22"/>
        </w:rPr>
      </w:pPr>
      <w:hyperlink r:id="rId8" w:history="1">
        <w:r w:rsidRPr="00402F60">
          <w:rPr>
            <w:rStyle w:val="Hyperlink"/>
            <w:rFonts w:ascii="Arial" w:hAnsi="Arial" w:cs="Arial"/>
            <w:i/>
            <w:iCs/>
            <w:sz w:val="22"/>
            <w:szCs w:val="22"/>
          </w:rPr>
          <w:t>Safe care at home review - GOV.UK</w:t>
        </w:r>
      </w:hyperlink>
    </w:p>
    <w:p w14:paraId="0EC4E7DE" w14:textId="2B6C6990" w:rsidR="00402F60" w:rsidRPr="003C10E7" w:rsidRDefault="00402F60" w:rsidP="00402F6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402F60">
        <w:rPr>
          <w:rFonts w:ascii="Arial" w:hAnsi="Arial" w:cs="Arial"/>
          <w:sz w:val="22"/>
          <w:szCs w:val="22"/>
        </w:rPr>
        <w:t>To support agency learning and raise awareness of the key messages from the Safe Care and Home Review, the following summary has been provided.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4D4456" w14:textId="77777777" w:rsidR="003C10E7" w:rsidRDefault="003C10E7" w:rsidP="003C10E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8F0FD5" w14:textId="0EDF8064" w:rsidR="008547BE" w:rsidRPr="003C10E7" w:rsidRDefault="008547BE" w:rsidP="003C10E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C10E7">
        <w:rPr>
          <w:rFonts w:ascii="Arial" w:hAnsi="Arial" w:cs="Arial"/>
          <w:b/>
          <w:bCs/>
          <w:sz w:val="22"/>
          <w:szCs w:val="22"/>
          <w:u w:val="single"/>
        </w:rPr>
        <w:t xml:space="preserve">Safe Care at Home Review </w:t>
      </w:r>
      <w:r w:rsidR="00C43DC9" w:rsidRPr="003C10E7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 xml:space="preserve"> Learning Summary for ASC Practitioners</w:t>
      </w:r>
    </w:p>
    <w:p w14:paraId="3C5F531E" w14:textId="6B758549" w:rsidR="008547BE" w:rsidRPr="003C10E7" w:rsidRDefault="008547BE" w:rsidP="003C10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Key Messages</w:t>
      </w:r>
    </w:p>
    <w:p w14:paraId="07A5B727" w14:textId="3D9FC138" w:rsidR="00402F60" w:rsidRPr="003C10E7" w:rsidRDefault="00402F60" w:rsidP="00402F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Abuse in Home</w:t>
      </w:r>
      <w:r>
        <w:rPr>
          <w:rFonts w:ascii="Arial" w:hAnsi="Arial" w:cs="Arial"/>
          <w:b/>
          <w:bCs/>
          <w:sz w:val="22"/>
          <w:szCs w:val="22"/>
        </w:rPr>
        <w:t xml:space="preserve"> b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ased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are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s 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eal and 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3C10E7">
        <w:rPr>
          <w:rFonts w:ascii="Arial" w:hAnsi="Arial" w:cs="Arial"/>
          <w:b/>
          <w:bCs/>
          <w:sz w:val="22"/>
          <w:szCs w:val="22"/>
        </w:rPr>
        <w:t>nder-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3C10E7">
        <w:rPr>
          <w:rFonts w:ascii="Arial" w:hAnsi="Arial" w:cs="Arial"/>
          <w:b/>
          <w:bCs/>
          <w:sz w:val="22"/>
          <w:szCs w:val="22"/>
        </w:rPr>
        <w:t>ecognised</w:t>
      </w:r>
    </w:p>
    <w:p w14:paraId="379F8797" w14:textId="1929D8A8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Adults receiving care at home</w:t>
      </w:r>
      <w:r w:rsidR="00C43DC9" w:rsidRPr="003C10E7">
        <w:rPr>
          <w:rFonts w:ascii="Arial" w:hAnsi="Arial" w:cs="Arial"/>
          <w:sz w:val="22"/>
          <w:szCs w:val="22"/>
        </w:rPr>
        <w:t xml:space="preserve"> </w:t>
      </w:r>
      <w:r w:rsidRPr="003C10E7">
        <w:rPr>
          <w:rFonts w:ascii="Arial" w:hAnsi="Arial" w:cs="Arial"/>
          <w:sz w:val="22"/>
          <w:szCs w:val="22"/>
        </w:rPr>
        <w:t>especially older people and those with disabilities</w:t>
      </w:r>
      <w:r w:rsidR="00C43DC9" w:rsidRPr="003C10E7">
        <w:rPr>
          <w:rFonts w:ascii="Arial" w:hAnsi="Arial" w:cs="Arial"/>
          <w:sz w:val="22"/>
          <w:szCs w:val="22"/>
        </w:rPr>
        <w:t xml:space="preserve"> </w:t>
      </w:r>
      <w:r w:rsidRPr="003C10E7">
        <w:rPr>
          <w:rFonts w:ascii="Arial" w:hAnsi="Arial" w:cs="Arial"/>
          <w:sz w:val="22"/>
          <w:szCs w:val="22"/>
        </w:rPr>
        <w:t>can be vulnerable to abuse and neglect, sometimes disguised as “care.”</w:t>
      </w:r>
    </w:p>
    <w:p w14:paraId="7E218D7C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Abuse may be physical, emotional, financial, sexual, or coercive, and can be perpetrated by paid carers, unpaid carers, or volunteers.</w:t>
      </w:r>
    </w:p>
    <w:p w14:paraId="683DC1E2" w14:textId="757DCF12" w:rsidR="008547BE" w:rsidRPr="003C10E7" w:rsidRDefault="008547BE" w:rsidP="003C10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 xml:space="preserve">Legal </w:t>
      </w:r>
      <w:r w:rsidR="00402F60">
        <w:rPr>
          <w:rFonts w:ascii="Arial" w:hAnsi="Arial" w:cs="Arial"/>
          <w:b/>
          <w:bCs/>
          <w:sz w:val="22"/>
          <w:szCs w:val="22"/>
        </w:rPr>
        <w:t>p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rotections </w:t>
      </w:r>
      <w:r w:rsidR="00402F60">
        <w:rPr>
          <w:rFonts w:ascii="Arial" w:hAnsi="Arial" w:cs="Arial"/>
          <w:b/>
          <w:bCs/>
          <w:sz w:val="22"/>
          <w:szCs w:val="22"/>
        </w:rPr>
        <w:t>a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re </w:t>
      </w:r>
      <w:r w:rsidR="00402F60">
        <w:rPr>
          <w:rFonts w:ascii="Arial" w:hAnsi="Arial" w:cs="Arial"/>
          <w:b/>
          <w:bCs/>
          <w:sz w:val="22"/>
          <w:szCs w:val="22"/>
        </w:rPr>
        <w:t>f</w:t>
      </w:r>
      <w:r w:rsidRPr="003C10E7">
        <w:rPr>
          <w:rFonts w:ascii="Arial" w:hAnsi="Arial" w:cs="Arial"/>
          <w:b/>
          <w:bCs/>
          <w:sz w:val="22"/>
          <w:szCs w:val="22"/>
        </w:rPr>
        <w:t>ragmented</w:t>
      </w:r>
    </w:p>
    <w:p w14:paraId="2443F46A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The </w:t>
      </w:r>
      <w:r w:rsidRPr="003C10E7">
        <w:rPr>
          <w:rFonts w:ascii="Arial" w:hAnsi="Arial" w:cs="Arial"/>
          <w:b/>
          <w:bCs/>
          <w:sz w:val="22"/>
          <w:szCs w:val="22"/>
        </w:rPr>
        <w:t>Domestic Abuse Act 2021</w:t>
      </w:r>
      <w:r w:rsidRPr="003C10E7">
        <w:rPr>
          <w:rFonts w:ascii="Arial" w:hAnsi="Arial" w:cs="Arial"/>
          <w:sz w:val="22"/>
          <w:szCs w:val="22"/>
        </w:rPr>
        <w:t> protects victims abused by someone they are “personally connected” to (e.g., family, partner).</w:t>
      </w:r>
    </w:p>
    <w:p w14:paraId="5E043CE7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Abuse by carers who are </w:t>
      </w:r>
      <w:r w:rsidRPr="003C10E7">
        <w:rPr>
          <w:rFonts w:ascii="Arial" w:hAnsi="Arial" w:cs="Arial"/>
          <w:i/>
          <w:iCs/>
          <w:sz w:val="22"/>
          <w:szCs w:val="22"/>
        </w:rPr>
        <w:t>not</w:t>
      </w:r>
      <w:r w:rsidRPr="003C10E7">
        <w:rPr>
          <w:rFonts w:ascii="Arial" w:hAnsi="Arial" w:cs="Arial"/>
          <w:sz w:val="22"/>
          <w:szCs w:val="22"/>
        </w:rPr>
        <w:t> personally connected is covered under the </w:t>
      </w:r>
      <w:r w:rsidRPr="003C10E7">
        <w:rPr>
          <w:rFonts w:ascii="Arial" w:hAnsi="Arial" w:cs="Arial"/>
          <w:b/>
          <w:bCs/>
          <w:sz w:val="22"/>
          <w:szCs w:val="22"/>
        </w:rPr>
        <w:t>Care Act 2014</w:t>
      </w:r>
      <w:r w:rsidRPr="003C10E7">
        <w:rPr>
          <w:rFonts w:ascii="Arial" w:hAnsi="Arial" w:cs="Arial"/>
          <w:sz w:val="22"/>
          <w:szCs w:val="22"/>
        </w:rPr>
        <w:t>, but understanding and application of these protections vary widely.</w:t>
      </w:r>
    </w:p>
    <w:p w14:paraId="63A1652C" w14:textId="562B840C" w:rsidR="008547BE" w:rsidRPr="003C10E7" w:rsidRDefault="008547BE" w:rsidP="003C10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 xml:space="preserve">Safeguarding </w:t>
      </w:r>
      <w:r w:rsidR="00402F60">
        <w:rPr>
          <w:rFonts w:ascii="Arial" w:hAnsi="Arial" w:cs="Arial"/>
          <w:b/>
          <w:bCs/>
          <w:sz w:val="22"/>
          <w:szCs w:val="22"/>
        </w:rPr>
        <w:t>s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ystems </w:t>
      </w:r>
      <w:r w:rsidR="00402F60">
        <w:rPr>
          <w:rFonts w:ascii="Arial" w:hAnsi="Arial" w:cs="Arial"/>
          <w:b/>
          <w:bCs/>
          <w:sz w:val="22"/>
          <w:szCs w:val="22"/>
        </w:rPr>
        <w:t>n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eed </w:t>
      </w:r>
      <w:r w:rsidR="00402F60">
        <w:rPr>
          <w:rFonts w:ascii="Arial" w:hAnsi="Arial" w:cs="Arial"/>
          <w:b/>
          <w:bCs/>
          <w:sz w:val="22"/>
          <w:szCs w:val="22"/>
        </w:rPr>
        <w:t>s</w:t>
      </w:r>
      <w:r w:rsidRPr="003C10E7">
        <w:rPr>
          <w:rFonts w:ascii="Arial" w:hAnsi="Arial" w:cs="Arial"/>
          <w:b/>
          <w:bCs/>
          <w:sz w:val="22"/>
          <w:szCs w:val="22"/>
        </w:rPr>
        <w:t>trengthening</w:t>
      </w:r>
    </w:p>
    <w:p w14:paraId="41B34178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There’s a lack of clarity around who holds responsibility for safeguarding in home care settings.</w:t>
      </w:r>
    </w:p>
    <w:p w14:paraId="14E3756F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lastRenderedPageBreak/>
        <w:t>Local responses to abuse vary, and frontline professionals often lack confidence in identifying and responding to abuse in these contexts.</w:t>
      </w:r>
    </w:p>
    <w:p w14:paraId="751CD8D2" w14:textId="45845556" w:rsidR="008547BE" w:rsidRPr="003C10E7" w:rsidRDefault="008547BE" w:rsidP="003C10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Victims</w:t>
      </w:r>
      <w:r w:rsidR="00402F60">
        <w:rPr>
          <w:rFonts w:ascii="Arial" w:hAnsi="Arial" w:cs="Arial"/>
          <w:b/>
          <w:bCs/>
          <w:sz w:val="22"/>
          <w:szCs w:val="22"/>
        </w:rPr>
        <w:t xml:space="preserve"> f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ace </w:t>
      </w:r>
      <w:r w:rsidR="00402F60">
        <w:rPr>
          <w:rFonts w:ascii="Arial" w:hAnsi="Arial" w:cs="Arial"/>
          <w:b/>
          <w:bCs/>
          <w:sz w:val="22"/>
          <w:szCs w:val="22"/>
        </w:rPr>
        <w:t>u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nique </w:t>
      </w:r>
      <w:r w:rsidR="00402F60">
        <w:rPr>
          <w:rFonts w:ascii="Arial" w:hAnsi="Arial" w:cs="Arial"/>
          <w:b/>
          <w:bCs/>
          <w:sz w:val="22"/>
          <w:szCs w:val="22"/>
        </w:rPr>
        <w:t>b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arriers to </w:t>
      </w:r>
      <w:r w:rsidR="00402F60">
        <w:rPr>
          <w:rFonts w:ascii="Arial" w:hAnsi="Arial" w:cs="Arial"/>
          <w:b/>
          <w:bCs/>
          <w:sz w:val="22"/>
          <w:szCs w:val="22"/>
        </w:rPr>
        <w:t>r</w:t>
      </w:r>
      <w:r w:rsidRPr="003C10E7">
        <w:rPr>
          <w:rFonts w:ascii="Arial" w:hAnsi="Arial" w:cs="Arial"/>
          <w:b/>
          <w:bCs/>
          <w:sz w:val="22"/>
          <w:szCs w:val="22"/>
        </w:rPr>
        <w:t>eporting</w:t>
      </w:r>
    </w:p>
    <w:p w14:paraId="6EB6E4A6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Dependence on carers, fear of losing support, and communication challenges make it difficult for victims to report abuse.</w:t>
      </w:r>
    </w:p>
    <w:p w14:paraId="796EB7F3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Some victims may not even recognise the abuse due to grooming or manipulation.</w:t>
      </w:r>
    </w:p>
    <w:p w14:paraId="2793EB07" w14:textId="7886D8A4" w:rsidR="008547BE" w:rsidRPr="003C10E7" w:rsidRDefault="008547BE" w:rsidP="003C10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 xml:space="preserve">Government </w:t>
      </w:r>
      <w:r w:rsidR="00402F60">
        <w:rPr>
          <w:rFonts w:ascii="Arial" w:hAnsi="Arial" w:cs="Arial"/>
          <w:b/>
          <w:bCs/>
          <w:sz w:val="22"/>
          <w:szCs w:val="22"/>
        </w:rPr>
        <w:t>c</w:t>
      </w:r>
      <w:r w:rsidRPr="003C10E7">
        <w:rPr>
          <w:rFonts w:ascii="Arial" w:hAnsi="Arial" w:cs="Arial"/>
          <w:b/>
          <w:bCs/>
          <w:sz w:val="22"/>
          <w:szCs w:val="22"/>
        </w:rPr>
        <w:t>ommitments</w:t>
      </w:r>
    </w:p>
    <w:p w14:paraId="70AC27DC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Improve leadership and accountability across safeguarding systems.</w:t>
      </w:r>
    </w:p>
    <w:p w14:paraId="1782053B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Enhance training and legal guidance for professionals.</w:t>
      </w:r>
    </w:p>
    <w:p w14:paraId="720F67E5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Invest in better data collection and research.</w:t>
      </w:r>
    </w:p>
    <w:p w14:paraId="5411B6A0" w14:textId="77777777" w:rsidR="008547BE" w:rsidRPr="003C10E7" w:rsidRDefault="008547BE" w:rsidP="003C10E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Support cross-sector collaboration and survivor-informed practice.</w:t>
      </w:r>
    </w:p>
    <w:p w14:paraId="4697EA79" w14:textId="77777777" w:rsidR="008547BE" w:rsidRPr="003C10E7" w:rsidRDefault="00402F60" w:rsidP="003C10E7">
      <w:p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pict w14:anchorId="48A85D48">
          <v:rect id="_x0000_i1025" style="width:8in;height:0" o:hrpct="0" o:hralign="center" o:hrstd="t" o:hr="t" fillcolor="#a0a0a0" stroked="f"/>
        </w:pict>
      </w:r>
    </w:p>
    <w:p w14:paraId="4D0AEF56" w14:textId="08BAF958" w:rsidR="008547BE" w:rsidRPr="003C10E7" w:rsidRDefault="008547BE" w:rsidP="003C10E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C10E7">
        <w:rPr>
          <w:rFonts w:ascii="Arial" w:hAnsi="Arial" w:cs="Arial"/>
          <w:b/>
          <w:bCs/>
          <w:sz w:val="22"/>
          <w:szCs w:val="22"/>
          <w:u w:val="single"/>
        </w:rPr>
        <w:t xml:space="preserve">What </w:t>
      </w:r>
      <w:r w:rsidR="003C10E7" w:rsidRPr="003C10E7">
        <w:rPr>
          <w:rFonts w:ascii="Arial" w:hAnsi="Arial" w:cs="Arial"/>
          <w:b/>
          <w:bCs/>
          <w:sz w:val="22"/>
          <w:szCs w:val="22"/>
          <w:u w:val="single"/>
        </w:rPr>
        <w:t>Professionals C</w:t>
      </w:r>
      <w:r w:rsidRPr="003C10E7">
        <w:rPr>
          <w:rFonts w:ascii="Arial" w:hAnsi="Arial" w:cs="Arial"/>
          <w:b/>
          <w:bCs/>
          <w:sz w:val="22"/>
          <w:szCs w:val="22"/>
          <w:u w:val="single"/>
        </w:rPr>
        <w:t>an Do</w:t>
      </w:r>
    </w:p>
    <w:p w14:paraId="378C85BE" w14:textId="77777777" w:rsidR="008547BE" w:rsidRPr="003C10E7" w:rsidRDefault="008547BE" w:rsidP="003C10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Be Curious and Trauma-Informed</w:t>
      </w:r>
      <w:r w:rsidRPr="003C10E7">
        <w:rPr>
          <w:rFonts w:ascii="Arial" w:hAnsi="Arial" w:cs="Arial"/>
          <w:sz w:val="22"/>
          <w:szCs w:val="22"/>
        </w:rPr>
        <w:t>: Look beyond surface-level care interactions. Ask open questions and listen actively.</w:t>
      </w:r>
    </w:p>
    <w:p w14:paraId="24F39926" w14:textId="77777777" w:rsidR="008547BE" w:rsidRPr="003C10E7" w:rsidRDefault="008547BE" w:rsidP="003C10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Know the Legal Landscape</w:t>
      </w:r>
      <w:r w:rsidRPr="003C10E7">
        <w:rPr>
          <w:rFonts w:ascii="Arial" w:hAnsi="Arial" w:cs="Arial"/>
          <w:sz w:val="22"/>
          <w:szCs w:val="22"/>
        </w:rPr>
        <w:t>: Understand both the Domestic Abuse Act and the Care Act, and how they apply to different care relationships.</w:t>
      </w:r>
    </w:p>
    <w:p w14:paraId="30471974" w14:textId="26790B08" w:rsidR="008547BE" w:rsidRPr="003C10E7" w:rsidRDefault="008547BE" w:rsidP="003C10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Spot the Signs</w:t>
      </w:r>
      <w:r w:rsidRPr="003C10E7">
        <w:rPr>
          <w:rFonts w:ascii="Arial" w:hAnsi="Arial" w:cs="Arial"/>
          <w:sz w:val="22"/>
          <w:szCs w:val="22"/>
        </w:rPr>
        <w:t>: Be alert to subtle indicators of coercion, neglect, or emotional harm</w:t>
      </w:r>
      <w:r w:rsidR="00920372" w:rsidRPr="003C10E7">
        <w:rPr>
          <w:rFonts w:ascii="Arial" w:hAnsi="Arial" w:cs="Arial"/>
          <w:sz w:val="22"/>
          <w:szCs w:val="22"/>
        </w:rPr>
        <w:t xml:space="preserve"> </w:t>
      </w:r>
      <w:r w:rsidRPr="003C10E7">
        <w:rPr>
          <w:rFonts w:ascii="Arial" w:hAnsi="Arial" w:cs="Arial"/>
          <w:sz w:val="22"/>
          <w:szCs w:val="22"/>
        </w:rPr>
        <w:t>especially in isolated individuals.</w:t>
      </w:r>
    </w:p>
    <w:p w14:paraId="32A83808" w14:textId="77777777" w:rsidR="008547BE" w:rsidRPr="003C10E7" w:rsidRDefault="008547BE" w:rsidP="003C10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Collaborate Locally</w:t>
      </w:r>
      <w:r w:rsidRPr="003C10E7">
        <w:rPr>
          <w:rFonts w:ascii="Arial" w:hAnsi="Arial" w:cs="Arial"/>
          <w:sz w:val="22"/>
          <w:szCs w:val="22"/>
        </w:rPr>
        <w:t>: Work closely with Safeguarding Adults Boards, health professionals, and housing providers to ensure joined-up responses.</w:t>
      </w:r>
    </w:p>
    <w:p w14:paraId="7A7A49EB" w14:textId="77777777" w:rsidR="008547BE" w:rsidRPr="003C10E7" w:rsidRDefault="008547BE" w:rsidP="003C10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Empower Victims</w:t>
      </w:r>
      <w:r w:rsidRPr="003C10E7">
        <w:rPr>
          <w:rFonts w:ascii="Arial" w:hAnsi="Arial" w:cs="Arial"/>
          <w:sz w:val="22"/>
          <w:szCs w:val="22"/>
        </w:rPr>
        <w:t>: Help people understand their rights and options. Support them to make safe disclosures.</w:t>
      </w:r>
    </w:p>
    <w:p w14:paraId="4072B35C" w14:textId="77777777" w:rsidR="008547BE" w:rsidRPr="003C10E7" w:rsidRDefault="008547BE" w:rsidP="003C10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Share Learning</w:t>
      </w:r>
      <w:r w:rsidRPr="003C10E7">
        <w:rPr>
          <w:rFonts w:ascii="Arial" w:hAnsi="Arial" w:cs="Arial"/>
          <w:sz w:val="22"/>
          <w:szCs w:val="22"/>
        </w:rPr>
        <w:t>: Promote reflective practice and learning from Safeguarding Adult Reviews (SARs).</w:t>
      </w:r>
    </w:p>
    <w:p w14:paraId="0B5794FC" w14:textId="77777777" w:rsidR="008547BE" w:rsidRPr="003C10E7" w:rsidRDefault="00402F60" w:rsidP="003C10E7">
      <w:p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pict w14:anchorId="7E0F80EC">
          <v:rect id="_x0000_i1026" style="width:8in;height:0" o:hrpct="0" o:hralign="center" o:hrstd="t" o:hr="t" fillcolor="#a0a0a0" stroked="f"/>
        </w:pict>
      </w:r>
    </w:p>
    <w:p w14:paraId="5BDE1C45" w14:textId="7580EE9A" w:rsidR="00067A66" w:rsidRPr="003C10E7" w:rsidRDefault="00067A66" w:rsidP="003C10E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C10E7">
        <w:rPr>
          <w:rFonts w:ascii="Arial" w:hAnsi="Arial" w:cs="Arial"/>
          <w:b/>
          <w:bCs/>
          <w:sz w:val="22"/>
          <w:szCs w:val="22"/>
          <w:u w:val="single"/>
        </w:rPr>
        <w:t xml:space="preserve">Safe Care at Home Review – Summary for </w:t>
      </w:r>
      <w:r w:rsidR="003C10E7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3C10E7" w:rsidRPr="003C10E7">
        <w:rPr>
          <w:rFonts w:ascii="Arial" w:hAnsi="Arial" w:cs="Arial"/>
          <w:b/>
          <w:bCs/>
          <w:sz w:val="22"/>
          <w:szCs w:val="22"/>
          <w:u w:val="single"/>
        </w:rPr>
        <w:t>ractice</w:t>
      </w:r>
    </w:p>
    <w:p w14:paraId="3682B58F" w14:textId="77777777" w:rsidR="003C10E7" w:rsidRDefault="003C10E7" w:rsidP="003C10E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30B15D" w14:textId="62D16679" w:rsidR="00067A66" w:rsidRPr="003C10E7" w:rsidRDefault="00067A66" w:rsidP="003C10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The review was jointly led by the </w:t>
      </w:r>
      <w:r w:rsidRPr="003C10E7">
        <w:rPr>
          <w:rFonts w:ascii="Arial" w:hAnsi="Arial" w:cs="Arial"/>
          <w:b/>
          <w:bCs/>
          <w:sz w:val="22"/>
          <w:szCs w:val="22"/>
        </w:rPr>
        <w:t>Home Office</w:t>
      </w:r>
      <w:r w:rsidRPr="003C10E7">
        <w:rPr>
          <w:rFonts w:ascii="Arial" w:hAnsi="Arial" w:cs="Arial"/>
          <w:sz w:val="22"/>
          <w:szCs w:val="22"/>
        </w:rPr>
        <w:t> and </w:t>
      </w:r>
      <w:r w:rsidRPr="003C10E7">
        <w:rPr>
          <w:rFonts w:ascii="Arial" w:hAnsi="Arial" w:cs="Arial"/>
          <w:b/>
          <w:bCs/>
          <w:sz w:val="22"/>
          <w:szCs w:val="22"/>
        </w:rPr>
        <w:t>Department of Health and Social Care (DHSC)</w:t>
      </w:r>
      <w:r w:rsidRPr="003C10E7">
        <w:rPr>
          <w:rFonts w:ascii="Arial" w:hAnsi="Arial" w:cs="Arial"/>
          <w:sz w:val="22"/>
          <w:szCs w:val="22"/>
        </w:rPr>
        <w:t> to examine how well adults receiving care in their own homes are protected from abuse and neglect. It was prompted by concerns raised during the passage of the </w:t>
      </w:r>
      <w:r w:rsidRPr="003C10E7">
        <w:rPr>
          <w:rFonts w:ascii="Arial" w:hAnsi="Arial" w:cs="Arial"/>
          <w:b/>
          <w:bCs/>
          <w:sz w:val="22"/>
          <w:szCs w:val="22"/>
        </w:rPr>
        <w:t>Domestic Abuse Act 2021</w:t>
      </w:r>
      <w:r w:rsidR="003C10E7">
        <w:rPr>
          <w:rFonts w:ascii="Arial" w:hAnsi="Arial" w:cs="Arial"/>
          <w:b/>
          <w:bCs/>
          <w:sz w:val="22"/>
          <w:szCs w:val="22"/>
        </w:rPr>
        <w:t>.</w:t>
      </w:r>
      <w:r w:rsidRPr="003C10E7">
        <w:rPr>
          <w:rFonts w:ascii="Arial" w:hAnsi="Arial" w:cs="Arial"/>
          <w:sz w:val="22"/>
          <w:szCs w:val="22"/>
        </w:rPr>
        <w:t> </w:t>
      </w:r>
    </w:p>
    <w:p w14:paraId="431103D1" w14:textId="77777777" w:rsidR="00067A66" w:rsidRPr="003C10E7" w:rsidRDefault="00067A66" w:rsidP="003C10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Key Findings</w:t>
      </w:r>
    </w:p>
    <w:p w14:paraId="7ECC4A41" w14:textId="6A6E630E" w:rsidR="00067A66" w:rsidRPr="003C10E7" w:rsidRDefault="00067A66" w:rsidP="003C10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 xml:space="preserve">Hidden </w:t>
      </w:r>
      <w:r w:rsidR="00402F60">
        <w:rPr>
          <w:rFonts w:ascii="Arial" w:hAnsi="Arial" w:cs="Arial"/>
          <w:b/>
          <w:bCs/>
          <w:sz w:val="22"/>
          <w:szCs w:val="22"/>
        </w:rPr>
        <w:t>a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buse in </w:t>
      </w:r>
      <w:r w:rsidR="00402F60">
        <w:rPr>
          <w:rFonts w:ascii="Arial" w:hAnsi="Arial" w:cs="Arial"/>
          <w:b/>
          <w:bCs/>
          <w:sz w:val="22"/>
          <w:szCs w:val="22"/>
        </w:rPr>
        <w:t>h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ome </w:t>
      </w:r>
      <w:r w:rsidR="00402F60">
        <w:rPr>
          <w:rFonts w:ascii="Arial" w:hAnsi="Arial" w:cs="Arial"/>
          <w:b/>
          <w:bCs/>
          <w:sz w:val="22"/>
          <w:szCs w:val="22"/>
        </w:rPr>
        <w:t>s</w:t>
      </w:r>
      <w:r w:rsidRPr="003C10E7">
        <w:rPr>
          <w:rFonts w:ascii="Arial" w:hAnsi="Arial" w:cs="Arial"/>
          <w:b/>
          <w:bCs/>
          <w:sz w:val="22"/>
          <w:szCs w:val="22"/>
        </w:rPr>
        <w:t>ettings</w:t>
      </w:r>
    </w:p>
    <w:p w14:paraId="7E499DF0" w14:textId="77777777" w:rsidR="00067A66" w:rsidRPr="003C10E7" w:rsidRDefault="00067A66" w:rsidP="003C10E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lastRenderedPageBreak/>
        <w:t>Abuse and neglect can occur in people's own homes, often under the guise of “care.”</w:t>
      </w:r>
    </w:p>
    <w:p w14:paraId="65B4BD85" w14:textId="5125F6CC" w:rsidR="00067A66" w:rsidRPr="003C10E7" w:rsidRDefault="00067A66" w:rsidP="003C10E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Victims may be older adults or disabled people who rely heavily on carers and may struggle to report abuse </w:t>
      </w:r>
    </w:p>
    <w:p w14:paraId="61D78143" w14:textId="77777777" w:rsidR="00067A66" w:rsidRPr="003C10E7" w:rsidRDefault="00067A66" w:rsidP="003C10E7">
      <w:p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.</w:t>
      </w:r>
    </w:p>
    <w:p w14:paraId="2386E166" w14:textId="56ED6BAA" w:rsidR="00067A66" w:rsidRPr="003C10E7" w:rsidRDefault="00067A66" w:rsidP="003C10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 xml:space="preserve">Legal </w:t>
      </w:r>
      <w:r w:rsidR="00402F60">
        <w:rPr>
          <w:rFonts w:ascii="Arial" w:hAnsi="Arial" w:cs="Arial"/>
          <w:b/>
          <w:bCs/>
          <w:sz w:val="22"/>
          <w:szCs w:val="22"/>
        </w:rPr>
        <w:t>g</w:t>
      </w:r>
      <w:r w:rsidRPr="003C10E7">
        <w:rPr>
          <w:rFonts w:ascii="Arial" w:hAnsi="Arial" w:cs="Arial"/>
          <w:b/>
          <w:bCs/>
          <w:sz w:val="22"/>
          <w:szCs w:val="22"/>
        </w:rPr>
        <w:t xml:space="preserve">aps and </w:t>
      </w:r>
      <w:r w:rsidR="00402F60">
        <w:rPr>
          <w:rFonts w:ascii="Arial" w:hAnsi="Arial" w:cs="Arial"/>
          <w:b/>
          <w:bCs/>
          <w:sz w:val="22"/>
          <w:szCs w:val="22"/>
        </w:rPr>
        <w:t>c</w:t>
      </w:r>
      <w:r w:rsidRPr="003C10E7">
        <w:rPr>
          <w:rFonts w:ascii="Arial" w:hAnsi="Arial" w:cs="Arial"/>
          <w:b/>
          <w:bCs/>
          <w:sz w:val="22"/>
          <w:szCs w:val="22"/>
        </w:rPr>
        <w:t>onfusion</w:t>
      </w:r>
    </w:p>
    <w:p w14:paraId="0881DBC7" w14:textId="77777777" w:rsidR="00067A66" w:rsidRPr="003C10E7" w:rsidRDefault="00067A66" w:rsidP="003C10E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The </w:t>
      </w:r>
      <w:r w:rsidRPr="003C10E7">
        <w:rPr>
          <w:rFonts w:ascii="Arial" w:hAnsi="Arial" w:cs="Arial"/>
          <w:b/>
          <w:bCs/>
          <w:sz w:val="22"/>
          <w:szCs w:val="22"/>
        </w:rPr>
        <w:t>Domestic Abuse Act</w:t>
      </w:r>
      <w:r w:rsidRPr="003C10E7">
        <w:rPr>
          <w:rFonts w:ascii="Arial" w:hAnsi="Arial" w:cs="Arial"/>
          <w:sz w:val="22"/>
          <w:szCs w:val="22"/>
        </w:rPr>
        <w:t> protects victims abused by someone they are “personally connected” to (e.g., family, partner).</w:t>
      </w:r>
    </w:p>
    <w:p w14:paraId="39D3A8B0" w14:textId="6E0420FA" w:rsidR="00067A66" w:rsidRPr="003C10E7" w:rsidRDefault="00067A66" w:rsidP="003C10E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Abuse by carers who are </w:t>
      </w:r>
      <w:r w:rsidRPr="003C10E7">
        <w:rPr>
          <w:rFonts w:ascii="Arial" w:hAnsi="Arial" w:cs="Arial"/>
          <w:i/>
          <w:iCs/>
          <w:sz w:val="22"/>
          <w:szCs w:val="22"/>
        </w:rPr>
        <w:t>not</w:t>
      </w:r>
      <w:r w:rsidRPr="003C10E7">
        <w:rPr>
          <w:rFonts w:ascii="Arial" w:hAnsi="Arial" w:cs="Arial"/>
          <w:sz w:val="22"/>
          <w:szCs w:val="22"/>
        </w:rPr>
        <w:t> personally connected falls under the </w:t>
      </w:r>
      <w:r w:rsidRPr="003C10E7">
        <w:rPr>
          <w:rFonts w:ascii="Arial" w:hAnsi="Arial" w:cs="Arial"/>
          <w:b/>
          <w:bCs/>
          <w:sz w:val="22"/>
          <w:szCs w:val="22"/>
        </w:rPr>
        <w:t>Care Act 2014</w:t>
      </w:r>
      <w:r w:rsidRPr="003C10E7">
        <w:rPr>
          <w:rFonts w:ascii="Arial" w:hAnsi="Arial" w:cs="Arial"/>
          <w:sz w:val="22"/>
          <w:szCs w:val="22"/>
        </w:rPr>
        <w:t>, but understanding and application of these laws vary</w:t>
      </w:r>
    </w:p>
    <w:p w14:paraId="07FB4813" w14:textId="77777777" w:rsidR="00067A66" w:rsidRPr="003C10E7" w:rsidRDefault="00067A66" w:rsidP="003C10E7">
      <w:p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.</w:t>
      </w:r>
    </w:p>
    <w:p w14:paraId="4E08B61A" w14:textId="094AC0E8" w:rsidR="00067A66" w:rsidRPr="003C10E7" w:rsidRDefault="00067A66" w:rsidP="003C10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 xml:space="preserve">Barriers to </w:t>
      </w:r>
      <w:r w:rsidR="00402F60">
        <w:rPr>
          <w:rFonts w:ascii="Arial" w:hAnsi="Arial" w:cs="Arial"/>
          <w:b/>
          <w:bCs/>
          <w:sz w:val="22"/>
          <w:szCs w:val="22"/>
        </w:rPr>
        <w:t>r</w:t>
      </w:r>
      <w:r w:rsidRPr="003C10E7">
        <w:rPr>
          <w:rFonts w:ascii="Arial" w:hAnsi="Arial" w:cs="Arial"/>
          <w:b/>
          <w:bCs/>
          <w:sz w:val="22"/>
          <w:szCs w:val="22"/>
        </w:rPr>
        <w:t>eporting</w:t>
      </w:r>
    </w:p>
    <w:p w14:paraId="3F3EDBF0" w14:textId="77777777" w:rsidR="00067A66" w:rsidRPr="003C10E7" w:rsidRDefault="00067A66" w:rsidP="003C10E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Victims may fear losing their only source of support or face communication barriers.</w:t>
      </w:r>
    </w:p>
    <w:p w14:paraId="69884D84" w14:textId="77777777" w:rsidR="00067A66" w:rsidRPr="003C10E7" w:rsidRDefault="00067A66" w:rsidP="003C10E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Grooming and manipulation by abusers can prevent victims from recognising or reporting harm </w:t>
      </w:r>
    </w:p>
    <w:p w14:paraId="2D12BE29" w14:textId="0FA5E5D5" w:rsidR="00067A66" w:rsidRPr="003C10E7" w:rsidRDefault="00067A66" w:rsidP="003C10E7">
      <w:pPr>
        <w:jc w:val="both"/>
        <w:rPr>
          <w:rFonts w:ascii="Arial" w:hAnsi="Arial" w:cs="Arial"/>
          <w:sz w:val="22"/>
          <w:szCs w:val="22"/>
        </w:rPr>
      </w:pPr>
    </w:p>
    <w:p w14:paraId="3C0031A7" w14:textId="45403F98" w:rsidR="00067A66" w:rsidRPr="003C10E7" w:rsidRDefault="00067A66" w:rsidP="003C10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 xml:space="preserve">Safeguarding </w:t>
      </w:r>
      <w:r w:rsidR="00402F60">
        <w:rPr>
          <w:rFonts w:ascii="Arial" w:hAnsi="Arial" w:cs="Arial"/>
          <w:b/>
          <w:bCs/>
          <w:sz w:val="22"/>
          <w:szCs w:val="22"/>
        </w:rPr>
        <w:t>c</w:t>
      </w:r>
      <w:r w:rsidRPr="003C10E7">
        <w:rPr>
          <w:rFonts w:ascii="Arial" w:hAnsi="Arial" w:cs="Arial"/>
          <w:b/>
          <w:bCs/>
          <w:sz w:val="22"/>
          <w:szCs w:val="22"/>
        </w:rPr>
        <w:t>hallenges</w:t>
      </w:r>
    </w:p>
    <w:p w14:paraId="6E7DB945" w14:textId="77777777" w:rsidR="00067A66" w:rsidRPr="003C10E7" w:rsidRDefault="00067A66" w:rsidP="003C10E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There is a lack of clarity around who holds responsibility for safeguarding in home care.</w:t>
      </w:r>
    </w:p>
    <w:p w14:paraId="68397198" w14:textId="77777777" w:rsidR="00067A66" w:rsidRPr="003C10E7" w:rsidRDefault="00067A66" w:rsidP="003C10E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Local responses are inconsistent, and professionals often lack confidence in identifying and responding to abuse </w:t>
      </w:r>
    </w:p>
    <w:p w14:paraId="20C37B89" w14:textId="03D32FF9" w:rsidR="003C10E7" w:rsidRPr="00402F60" w:rsidRDefault="00402F60" w:rsidP="00402F60">
      <w:pPr>
        <w:jc w:val="center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pict w14:anchorId="63CCBF2C">
          <v:rect id="_x0000_i1027" style="width:8in;height:0" o:hrpct="0" o:hralign="center" o:hrstd="t" o:hrnoshade="t" o:hr="t" fillcolor="#424242" stroked="f"/>
        </w:pict>
      </w:r>
    </w:p>
    <w:p w14:paraId="7EFBF055" w14:textId="55994F69" w:rsidR="00067A66" w:rsidRPr="003C10E7" w:rsidRDefault="00067A66" w:rsidP="003C10E7">
      <w:p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The review sets out </w:t>
      </w:r>
      <w:r w:rsidRPr="003C10E7">
        <w:rPr>
          <w:rFonts w:ascii="Arial" w:hAnsi="Arial" w:cs="Arial"/>
          <w:b/>
          <w:bCs/>
          <w:sz w:val="22"/>
          <w:szCs w:val="22"/>
        </w:rPr>
        <w:t>cross-government actions</w:t>
      </w:r>
      <w:r w:rsidRPr="003C10E7">
        <w:rPr>
          <w:rFonts w:ascii="Arial" w:hAnsi="Arial" w:cs="Arial"/>
          <w:sz w:val="22"/>
          <w:szCs w:val="22"/>
        </w:rPr>
        <w:t> across three themes </w:t>
      </w:r>
    </w:p>
    <w:p w14:paraId="223FD688" w14:textId="77777777" w:rsidR="00067A66" w:rsidRPr="003C10E7" w:rsidRDefault="00067A66" w:rsidP="003C10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1. Leadership &amp; Accountability</w:t>
      </w:r>
    </w:p>
    <w:p w14:paraId="0615D762" w14:textId="77777777" w:rsidR="00067A66" w:rsidRPr="003C10E7" w:rsidRDefault="00067A66" w:rsidP="003C10E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Clarify safeguarding responsibilities.</w:t>
      </w:r>
    </w:p>
    <w:p w14:paraId="0EF47204" w14:textId="77777777" w:rsidR="00067A66" w:rsidRPr="003C10E7" w:rsidRDefault="00067A66" w:rsidP="003C10E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Improve Care Act guidance.</w:t>
      </w:r>
    </w:p>
    <w:p w14:paraId="52C6CBC2" w14:textId="77777777" w:rsidR="00067A66" w:rsidRPr="003C10E7" w:rsidRDefault="00067A66" w:rsidP="003C10E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Invest £3 million in domestic abuse support organisations.</w:t>
      </w:r>
    </w:p>
    <w:p w14:paraId="2F83B62E" w14:textId="77777777" w:rsidR="00067A66" w:rsidRPr="003C10E7" w:rsidRDefault="00067A66" w:rsidP="003C10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2. Training &amp; Guidance</w:t>
      </w:r>
    </w:p>
    <w:p w14:paraId="6AF0E158" w14:textId="77777777" w:rsidR="00067A66" w:rsidRPr="003C10E7" w:rsidRDefault="00067A66" w:rsidP="003C10E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Enhance understanding of legal duties.</w:t>
      </w:r>
    </w:p>
    <w:p w14:paraId="3601D69E" w14:textId="77777777" w:rsidR="00067A66" w:rsidRPr="003C10E7" w:rsidRDefault="00067A66" w:rsidP="003C10E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Support social workers and police in recognising abuse in care relationships.</w:t>
      </w:r>
    </w:p>
    <w:p w14:paraId="7F9349BB" w14:textId="77777777" w:rsidR="00067A66" w:rsidRPr="003C10E7" w:rsidRDefault="00067A66" w:rsidP="003C10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3. Data &amp; Evidence</w:t>
      </w:r>
    </w:p>
    <w:p w14:paraId="50807F12" w14:textId="77777777" w:rsidR="00067A66" w:rsidRPr="003C10E7" w:rsidRDefault="00067A66" w:rsidP="003C10E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Improve data collection and research on abuse in home care settings.</w:t>
      </w:r>
    </w:p>
    <w:p w14:paraId="6C97C45B" w14:textId="77777777" w:rsidR="00067A66" w:rsidRPr="003C10E7" w:rsidRDefault="00067A66" w:rsidP="003C10E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Share learning from Safeguarding Adult Reviews (SARs).</w:t>
      </w:r>
    </w:p>
    <w:p w14:paraId="1554C9B4" w14:textId="77777777" w:rsidR="00067A66" w:rsidRPr="003C10E7" w:rsidRDefault="00402F60" w:rsidP="003C10E7">
      <w:p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lastRenderedPageBreak/>
        <w:pict w14:anchorId="40CEE2C3">
          <v:rect id="_x0000_i1028" style="width:8in;height:0" o:hrpct="0" o:hralign="center" o:hrstd="t" o:hrnoshade="t" o:hr="t" fillcolor="#424242" stroked="f"/>
        </w:pict>
      </w:r>
    </w:p>
    <w:p w14:paraId="70CAAE91" w14:textId="0E9353DE" w:rsidR="00067A66" w:rsidRPr="003C10E7" w:rsidRDefault="00067A66" w:rsidP="003C10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 xml:space="preserve">Implications for </w:t>
      </w:r>
      <w:r w:rsidR="00402F60">
        <w:rPr>
          <w:rFonts w:ascii="Arial" w:hAnsi="Arial" w:cs="Arial"/>
          <w:b/>
          <w:bCs/>
          <w:sz w:val="22"/>
          <w:szCs w:val="22"/>
        </w:rPr>
        <w:t>p</w:t>
      </w:r>
      <w:r w:rsidRPr="003C10E7">
        <w:rPr>
          <w:rFonts w:ascii="Arial" w:hAnsi="Arial" w:cs="Arial"/>
          <w:b/>
          <w:bCs/>
          <w:sz w:val="22"/>
          <w:szCs w:val="22"/>
        </w:rPr>
        <w:t>ractice</w:t>
      </w:r>
    </w:p>
    <w:p w14:paraId="2A97E903" w14:textId="77777777" w:rsidR="00067A66" w:rsidRPr="003C10E7" w:rsidRDefault="00067A66" w:rsidP="003C10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Be vigilant</w:t>
      </w:r>
      <w:r w:rsidRPr="003C10E7">
        <w:rPr>
          <w:rFonts w:ascii="Arial" w:hAnsi="Arial" w:cs="Arial"/>
          <w:sz w:val="22"/>
          <w:szCs w:val="22"/>
        </w:rPr>
        <w:t>: Abuse may be subtle and hidden.</w:t>
      </w:r>
    </w:p>
    <w:p w14:paraId="20D2E724" w14:textId="77777777" w:rsidR="00067A66" w:rsidRPr="003C10E7" w:rsidRDefault="00067A66" w:rsidP="003C10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Understand the law</w:t>
      </w:r>
      <w:r w:rsidRPr="003C10E7">
        <w:rPr>
          <w:rFonts w:ascii="Arial" w:hAnsi="Arial" w:cs="Arial"/>
          <w:sz w:val="22"/>
          <w:szCs w:val="22"/>
        </w:rPr>
        <w:t>: Know when the Domestic Abuse Act or Care Act applies.</w:t>
      </w:r>
    </w:p>
    <w:p w14:paraId="55FA1BC1" w14:textId="77777777" w:rsidR="00067A66" w:rsidRPr="003C10E7" w:rsidRDefault="00067A66" w:rsidP="003C10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Support victims</w:t>
      </w:r>
      <w:r w:rsidRPr="003C10E7">
        <w:rPr>
          <w:rFonts w:ascii="Arial" w:hAnsi="Arial" w:cs="Arial"/>
          <w:sz w:val="22"/>
          <w:szCs w:val="22"/>
        </w:rPr>
        <w:t>: Empower people to speak up and access help.</w:t>
      </w:r>
    </w:p>
    <w:p w14:paraId="7707A67C" w14:textId="77777777" w:rsidR="00067A66" w:rsidRPr="003C10E7" w:rsidRDefault="00067A66" w:rsidP="003C10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Collaborate locally</w:t>
      </w:r>
      <w:r w:rsidRPr="003C10E7">
        <w:rPr>
          <w:rFonts w:ascii="Arial" w:hAnsi="Arial" w:cs="Arial"/>
          <w:sz w:val="22"/>
          <w:szCs w:val="22"/>
        </w:rPr>
        <w:t>: Work with SABs, health, housing, and justice partners.</w:t>
      </w:r>
    </w:p>
    <w:p w14:paraId="7B8AC80C" w14:textId="77777777" w:rsidR="00067A66" w:rsidRPr="003C10E7" w:rsidRDefault="00067A66" w:rsidP="003C10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Promote learning</w:t>
      </w:r>
      <w:r w:rsidRPr="003C10E7">
        <w:rPr>
          <w:rFonts w:ascii="Arial" w:hAnsi="Arial" w:cs="Arial"/>
          <w:sz w:val="22"/>
          <w:szCs w:val="22"/>
        </w:rPr>
        <w:t>: Share insights from SARs and good practice examples.</w:t>
      </w:r>
    </w:p>
    <w:p w14:paraId="1F4E073C" w14:textId="77777777" w:rsidR="00725756" w:rsidRPr="003C10E7" w:rsidRDefault="00725756" w:rsidP="003C10E7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3994DA28" w14:textId="77777777" w:rsidR="00D53CC9" w:rsidRDefault="00D53CC9" w:rsidP="003C10E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C10E7">
        <w:rPr>
          <w:rFonts w:ascii="Arial" w:hAnsi="Arial" w:cs="Arial"/>
          <w:b/>
          <w:bCs/>
          <w:sz w:val="22"/>
          <w:szCs w:val="22"/>
          <w:u w:val="single"/>
        </w:rPr>
        <w:t>Key Statistics from the Safe Care at Home Review</w:t>
      </w:r>
    </w:p>
    <w:p w14:paraId="55646D92" w14:textId="77777777" w:rsidR="003C10E7" w:rsidRPr="003C10E7" w:rsidRDefault="003C10E7" w:rsidP="003C10E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E820AF9" w14:textId="77777777" w:rsidR="00D53CC9" w:rsidRPr="003C10E7" w:rsidRDefault="00D53CC9" w:rsidP="003C10E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1 in 6 Domestic Homicides Involve a Care Relationship</w:t>
      </w:r>
    </w:p>
    <w:p w14:paraId="7DEBAF25" w14:textId="77777777" w:rsidR="00D53CC9" w:rsidRPr="003C10E7" w:rsidRDefault="00D53CC9" w:rsidP="003C10E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Evidence from the Home Office-funded </w:t>
      </w:r>
      <w:r w:rsidRPr="003C10E7">
        <w:rPr>
          <w:rFonts w:ascii="Arial" w:hAnsi="Arial" w:cs="Arial"/>
          <w:b/>
          <w:bCs/>
          <w:sz w:val="22"/>
          <w:szCs w:val="22"/>
        </w:rPr>
        <w:t>Vulnerability Knowledge and Practice Programme</w:t>
      </w:r>
      <w:r w:rsidRPr="003C10E7">
        <w:rPr>
          <w:rFonts w:ascii="Arial" w:hAnsi="Arial" w:cs="Arial"/>
          <w:sz w:val="22"/>
          <w:szCs w:val="22"/>
        </w:rPr>
        <w:t> found that </w:t>
      </w:r>
      <w:r w:rsidRPr="003C10E7">
        <w:rPr>
          <w:rFonts w:ascii="Arial" w:hAnsi="Arial" w:cs="Arial"/>
          <w:b/>
          <w:bCs/>
          <w:sz w:val="22"/>
          <w:szCs w:val="22"/>
        </w:rPr>
        <w:t>1 in 6 domestic homicides</w:t>
      </w:r>
      <w:r w:rsidRPr="003C10E7">
        <w:rPr>
          <w:rFonts w:ascii="Arial" w:hAnsi="Arial" w:cs="Arial"/>
          <w:sz w:val="22"/>
          <w:szCs w:val="22"/>
        </w:rPr>
        <w:t> involved people who were either </w:t>
      </w:r>
      <w:r w:rsidRPr="003C10E7">
        <w:rPr>
          <w:rFonts w:ascii="Arial" w:hAnsi="Arial" w:cs="Arial"/>
          <w:b/>
          <w:bCs/>
          <w:sz w:val="22"/>
          <w:szCs w:val="22"/>
        </w:rPr>
        <w:t>cared for by</w:t>
      </w:r>
      <w:r w:rsidRPr="003C10E7">
        <w:rPr>
          <w:rFonts w:ascii="Arial" w:hAnsi="Arial" w:cs="Arial"/>
          <w:sz w:val="22"/>
          <w:szCs w:val="22"/>
        </w:rPr>
        <w:t> or </w:t>
      </w:r>
      <w:r w:rsidRPr="003C10E7">
        <w:rPr>
          <w:rFonts w:ascii="Arial" w:hAnsi="Arial" w:cs="Arial"/>
          <w:b/>
          <w:bCs/>
          <w:sz w:val="22"/>
          <w:szCs w:val="22"/>
        </w:rPr>
        <w:t>caring for</w:t>
      </w:r>
      <w:r w:rsidRPr="003C10E7">
        <w:rPr>
          <w:rFonts w:ascii="Arial" w:hAnsi="Arial" w:cs="Arial"/>
          <w:sz w:val="22"/>
          <w:szCs w:val="22"/>
        </w:rPr>
        <w:t> the suspect </w:t>
      </w:r>
    </w:p>
    <w:p w14:paraId="73149A14" w14:textId="77777777" w:rsidR="00D53CC9" w:rsidRPr="003C10E7" w:rsidRDefault="00D53CC9" w:rsidP="003C10E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This highlights the serious risks that can exist within care relationships in the home.</w:t>
      </w:r>
    </w:p>
    <w:p w14:paraId="7867D418" w14:textId="77777777" w:rsidR="00D53CC9" w:rsidRPr="003C10E7" w:rsidRDefault="00D53CC9" w:rsidP="003C10E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Limited National Data on Abuse in Home Care Settings</w:t>
      </w:r>
    </w:p>
    <w:p w14:paraId="42408D09" w14:textId="77777777" w:rsidR="00D53CC9" w:rsidRPr="003C10E7" w:rsidRDefault="00D53CC9" w:rsidP="003C10E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While </w:t>
      </w:r>
      <w:r w:rsidRPr="003C10E7">
        <w:rPr>
          <w:rFonts w:ascii="Arial" w:hAnsi="Arial" w:cs="Arial"/>
          <w:b/>
          <w:bCs/>
          <w:sz w:val="22"/>
          <w:szCs w:val="22"/>
        </w:rPr>
        <w:t>NHS Digital</w:t>
      </w:r>
      <w:r w:rsidRPr="003C10E7">
        <w:rPr>
          <w:rFonts w:ascii="Arial" w:hAnsi="Arial" w:cs="Arial"/>
          <w:sz w:val="22"/>
          <w:szCs w:val="22"/>
        </w:rPr>
        <w:t> collects data on safeguarding activity from local authorities, this </w:t>
      </w:r>
      <w:r w:rsidRPr="003C10E7">
        <w:rPr>
          <w:rFonts w:ascii="Arial" w:hAnsi="Arial" w:cs="Arial"/>
          <w:b/>
          <w:bCs/>
          <w:sz w:val="22"/>
          <w:szCs w:val="22"/>
        </w:rPr>
        <w:t>cannot be used to measure prevalence</w:t>
      </w:r>
      <w:r w:rsidRPr="003C10E7">
        <w:rPr>
          <w:rFonts w:ascii="Arial" w:hAnsi="Arial" w:cs="Arial"/>
          <w:sz w:val="22"/>
          <w:szCs w:val="22"/>
        </w:rPr>
        <w:t> of abuse in home care settings because:</w:t>
      </w:r>
    </w:p>
    <w:p w14:paraId="416F76E6" w14:textId="77777777" w:rsidR="00D53CC9" w:rsidRPr="003C10E7" w:rsidRDefault="00D53CC9" w:rsidP="003C10E7">
      <w:pPr>
        <w:numPr>
          <w:ilvl w:val="2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Not all abuse is reported.</w:t>
      </w:r>
    </w:p>
    <w:p w14:paraId="6C312D38" w14:textId="77777777" w:rsidR="00D53CC9" w:rsidRPr="003C10E7" w:rsidRDefault="00D53CC9" w:rsidP="003C10E7">
      <w:pPr>
        <w:numPr>
          <w:ilvl w:val="2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Many cases go undetected due to victims’ dependence on carers or communication barriers </w:t>
      </w:r>
    </w:p>
    <w:p w14:paraId="4CC6DA90" w14:textId="3A437541" w:rsidR="00D53CC9" w:rsidRPr="003C10E7" w:rsidRDefault="00D53CC9" w:rsidP="003C10E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Disabled Women Are Over Twice as Likely to Experience Domestic Abuse</w:t>
      </w:r>
    </w:p>
    <w:p w14:paraId="03BBA759" w14:textId="77777777" w:rsidR="00D53CC9" w:rsidRPr="003C10E7" w:rsidRDefault="00D53CC9" w:rsidP="003C10E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The review references broader government data showing that </w:t>
      </w:r>
      <w:r w:rsidRPr="003C10E7">
        <w:rPr>
          <w:rFonts w:ascii="Arial" w:hAnsi="Arial" w:cs="Arial"/>
          <w:b/>
          <w:bCs/>
          <w:sz w:val="22"/>
          <w:szCs w:val="22"/>
        </w:rPr>
        <w:t>disabled women in England and Wales</w:t>
      </w:r>
      <w:r w:rsidRPr="003C10E7">
        <w:rPr>
          <w:rFonts w:ascii="Arial" w:hAnsi="Arial" w:cs="Arial"/>
          <w:sz w:val="22"/>
          <w:szCs w:val="22"/>
        </w:rPr>
        <w:t> are </w:t>
      </w:r>
      <w:r w:rsidRPr="003C10E7">
        <w:rPr>
          <w:rFonts w:ascii="Arial" w:hAnsi="Arial" w:cs="Arial"/>
          <w:b/>
          <w:bCs/>
          <w:sz w:val="22"/>
          <w:szCs w:val="22"/>
        </w:rPr>
        <w:t>more than twice as likely</w:t>
      </w:r>
      <w:r w:rsidRPr="003C10E7">
        <w:rPr>
          <w:rFonts w:ascii="Arial" w:hAnsi="Arial" w:cs="Arial"/>
          <w:sz w:val="22"/>
          <w:szCs w:val="22"/>
        </w:rPr>
        <w:t> to have experienced domestic abuse compared to non-disabled women </w:t>
      </w:r>
    </w:p>
    <w:p w14:paraId="0EB8E7D5" w14:textId="77777777" w:rsidR="00D53CC9" w:rsidRPr="003C10E7" w:rsidRDefault="00D53CC9" w:rsidP="003C10E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This intersectionality is crucial when assessing risk and support needs.</w:t>
      </w:r>
    </w:p>
    <w:p w14:paraId="66A282F6" w14:textId="77777777" w:rsidR="00D53CC9" w:rsidRPr="003C10E7" w:rsidRDefault="00D53CC9" w:rsidP="003C10E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£140 Million Investment in Domestic Abuse and Sexual Violence Support</w:t>
      </w:r>
    </w:p>
    <w:p w14:paraId="0386F422" w14:textId="77777777" w:rsidR="00D53CC9" w:rsidRPr="003C10E7" w:rsidRDefault="00D53CC9" w:rsidP="003C10E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As part of the </w:t>
      </w:r>
      <w:r w:rsidRPr="003C10E7">
        <w:rPr>
          <w:rFonts w:ascii="Arial" w:hAnsi="Arial" w:cs="Arial"/>
          <w:b/>
          <w:bCs/>
          <w:sz w:val="22"/>
          <w:szCs w:val="22"/>
        </w:rPr>
        <w:t>Tackling Domestic Abuse Plan</w:t>
      </w:r>
      <w:r w:rsidRPr="003C10E7">
        <w:rPr>
          <w:rFonts w:ascii="Arial" w:hAnsi="Arial" w:cs="Arial"/>
          <w:sz w:val="22"/>
          <w:szCs w:val="22"/>
        </w:rPr>
        <w:t>, the government committed </w:t>
      </w:r>
      <w:r w:rsidRPr="003C10E7">
        <w:rPr>
          <w:rFonts w:ascii="Arial" w:hAnsi="Arial" w:cs="Arial"/>
          <w:b/>
          <w:bCs/>
          <w:sz w:val="22"/>
          <w:szCs w:val="22"/>
        </w:rPr>
        <w:t>£140 million over three years</w:t>
      </w:r>
      <w:r w:rsidRPr="003C10E7">
        <w:rPr>
          <w:rFonts w:ascii="Arial" w:hAnsi="Arial" w:cs="Arial"/>
          <w:sz w:val="22"/>
          <w:szCs w:val="22"/>
        </w:rPr>
        <w:t> to support victims and survivors </w:t>
      </w:r>
    </w:p>
    <w:p w14:paraId="1F90918C" w14:textId="6B72D7C8" w:rsidR="00D53CC9" w:rsidRPr="003C10E7" w:rsidRDefault="00D53CC9" w:rsidP="003C10E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b/>
          <w:bCs/>
          <w:sz w:val="22"/>
          <w:szCs w:val="22"/>
        </w:rPr>
        <w:t>£7.5 Billion Extra Investment in Adult Social Care</w:t>
      </w:r>
    </w:p>
    <w:p w14:paraId="13E0AD44" w14:textId="5807040C" w:rsidR="00725756" w:rsidRPr="003C10E7" w:rsidRDefault="00D53CC9" w:rsidP="003C10E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C10E7">
        <w:rPr>
          <w:rFonts w:ascii="Arial" w:hAnsi="Arial" w:cs="Arial"/>
          <w:sz w:val="22"/>
          <w:szCs w:val="22"/>
        </w:rPr>
        <w:t>The Chancellor announced a </w:t>
      </w:r>
      <w:r w:rsidRPr="003C10E7">
        <w:rPr>
          <w:rFonts w:ascii="Arial" w:hAnsi="Arial" w:cs="Arial"/>
          <w:b/>
          <w:bCs/>
          <w:sz w:val="22"/>
          <w:szCs w:val="22"/>
        </w:rPr>
        <w:t>historic increase in funding</w:t>
      </w:r>
      <w:r w:rsidRPr="003C10E7">
        <w:rPr>
          <w:rFonts w:ascii="Arial" w:hAnsi="Arial" w:cs="Arial"/>
          <w:sz w:val="22"/>
          <w:szCs w:val="22"/>
        </w:rPr>
        <w:t>: up to </w:t>
      </w:r>
      <w:r w:rsidRPr="003C10E7">
        <w:rPr>
          <w:rFonts w:ascii="Arial" w:hAnsi="Arial" w:cs="Arial"/>
          <w:b/>
          <w:bCs/>
          <w:sz w:val="22"/>
          <w:szCs w:val="22"/>
        </w:rPr>
        <w:t>£7.5 billion over two years</w:t>
      </w:r>
      <w:r w:rsidRPr="003C10E7">
        <w:rPr>
          <w:rFonts w:ascii="Arial" w:hAnsi="Arial" w:cs="Arial"/>
          <w:sz w:val="22"/>
          <w:szCs w:val="22"/>
        </w:rPr>
        <w:t> to support adult social care and hospital discharge </w:t>
      </w:r>
    </w:p>
    <w:sectPr w:rsidR="00725756" w:rsidRPr="003C10E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2608" w14:textId="77777777" w:rsidR="00721400" w:rsidRDefault="00721400" w:rsidP="00920372">
      <w:pPr>
        <w:spacing w:after="0" w:line="240" w:lineRule="auto"/>
      </w:pPr>
      <w:r>
        <w:separator/>
      </w:r>
    </w:p>
  </w:endnote>
  <w:endnote w:type="continuationSeparator" w:id="0">
    <w:p w14:paraId="4C961B5B" w14:textId="77777777" w:rsidR="00721400" w:rsidRDefault="00721400" w:rsidP="0092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2243" w14:textId="5F6103C7" w:rsidR="00920372" w:rsidRDefault="00402F60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88BB6" wp14:editId="430494E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381D38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SAR Ben Recommendation 4 November </w:t>
    </w:r>
    <w:r w:rsidRPr="00402F60">
      <w:rPr>
        <w:rFonts w:ascii="Arial" w:hAnsi="Arial" w:cs="Arial"/>
        <w:color w:val="156082" w:themeColor="accent1"/>
        <w:sz w:val="22"/>
        <w:szCs w:val="22"/>
      </w:rPr>
      <w:t xml:space="preserve">2025                                                                           </w:t>
    </w:r>
    <w:r w:rsidRPr="00402F60">
      <w:rPr>
        <w:rFonts w:ascii="Arial" w:eastAsiaTheme="majorEastAsia" w:hAnsi="Arial" w:cs="Arial"/>
        <w:color w:val="156082" w:themeColor="accent1"/>
        <w:sz w:val="22"/>
        <w:szCs w:val="22"/>
      </w:rPr>
      <w:t xml:space="preserve">pg. </w:t>
    </w:r>
    <w:r w:rsidRPr="00402F60">
      <w:rPr>
        <w:rFonts w:ascii="Arial" w:eastAsiaTheme="minorEastAsia" w:hAnsi="Arial" w:cs="Arial"/>
        <w:color w:val="156082" w:themeColor="accent1"/>
        <w:sz w:val="22"/>
        <w:szCs w:val="22"/>
      </w:rPr>
      <w:fldChar w:fldCharType="begin"/>
    </w:r>
    <w:r w:rsidRPr="00402F60">
      <w:rPr>
        <w:rFonts w:ascii="Arial" w:hAnsi="Arial" w:cs="Arial"/>
        <w:color w:val="156082" w:themeColor="accent1"/>
        <w:sz w:val="22"/>
        <w:szCs w:val="22"/>
      </w:rPr>
      <w:instrText xml:space="preserve"> PAGE    \* MERGEFORMAT </w:instrText>
    </w:r>
    <w:r w:rsidRPr="00402F60">
      <w:rPr>
        <w:rFonts w:ascii="Arial" w:eastAsiaTheme="minorEastAsia" w:hAnsi="Arial" w:cs="Arial"/>
        <w:color w:val="156082" w:themeColor="accent1"/>
        <w:sz w:val="22"/>
        <w:szCs w:val="22"/>
      </w:rPr>
      <w:fldChar w:fldCharType="separate"/>
    </w:r>
    <w:r w:rsidRPr="00402F60">
      <w:rPr>
        <w:rFonts w:ascii="Arial" w:eastAsiaTheme="majorEastAsia" w:hAnsi="Arial" w:cs="Arial"/>
        <w:noProof/>
        <w:color w:val="156082" w:themeColor="accent1"/>
        <w:sz w:val="22"/>
        <w:szCs w:val="22"/>
      </w:rPr>
      <w:t>2</w:t>
    </w:r>
    <w:r w:rsidRPr="00402F60">
      <w:rPr>
        <w:rFonts w:ascii="Arial" w:eastAsiaTheme="majorEastAsia" w:hAnsi="Arial" w:cs="Arial"/>
        <w:noProof/>
        <w:color w:val="156082" w:themeColor="accen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5B5A" w14:textId="77777777" w:rsidR="00721400" w:rsidRDefault="00721400" w:rsidP="00920372">
      <w:pPr>
        <w:spacing w:after="0" w:line="240" w:lineRule="auto"/>
      </w:pPr>
      <w:r>
        <w:separator/>
      </w:r>
    </w:p>
  </w:footnote>
  <w:footnote w:type="continuationSeparator" w:id="0">
    <w:p w14:paraId="5FB18F49" w14:textId="77777777" w:rsidR="00721400" w:rsidRDefault="00721400" w:rsidP="0092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1100"/>
    <w:multiLevelType w:val="multilevel"/>
    <w:tmpl w:val="9EB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A6ECB"/>
    <w:multiLevelType w:val="multilevel"/>
    <w:tmpl w:val="7622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92A59"/>
    <w:multiLevelType w:val="multilevel"/>
    <w:tmpl w:val="A056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D4D19"/>
    <w:multiLevelType w:val="multilevel"/>
    <w:tmpl w:val="DA26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015F2"/>
    <w:multiLevelType w:val="multilevel"/>
    <w:tmpl w:val="227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BC42C1"/>
    <w:multiLevelType w:val="multilevel"/>
    <w:tmpl w:val="675E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617E6F"/>
    <w:multiLevelType w:val="multilevel"/>
    <w:tmpl w:val="7D3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4262F8"/>
    <w:multiLevelType w:val="multilevel"/>
    <w:tmpl w:val="2BFE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6772714">
    <w:abstractNumId w:val="1"/>
  </w:num>
  <w:num w:numId="2" w16cid:durableId="1415275542">
    <w:abstractNumId w:val="5"/>
  </w:num>
  <w:num w:numId="3" w16cid:durableId="1547568013">
    <w:abstractNumId w:val="3"/>
  </w:num>
  <w:num w:numId="4" w16cid:durableId="1140539638">
    <w:abstractNumId w:val="7"/>
  </w:num>
  <w:num w:numId="5" w16cid:durableId="444351272">
    <w:abstractNumId w:val="6"/>
  </w:num>
  <w:num w:numId="6" w16cid:durableId="2027781870">
    <w:abstractNumId w:val="0"/>
  </w:num>
  <w:num w:numId="7" w16cid:durableId="1626807384">
    <w:abstractNumId w:val="4"/>
  </w:num>
  <w:num w:numId="8" w16cid:durableId="75020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BE"/>
    <w:rsid w:val="00067A66"/>
    <w:rsid w:val="001F659E"/>
    <w:rsid w:val="003C10E7"/>
    <w:rsid w:val="00402F60"/>
    <w:rsid w:val="00721400"/>
    <w:rsid w:val="00725756"/>
    <w:rsid w:val="008547BE"/>
    <w:rsid w:val="00920372"/>
    <w:rsid w:val="00AB2513"/>
    <w:rsid w:val="00C43DC9"/>
    <w:rsid w:val="00D053F4"/>
    <w:rsid w:val="00D53CC9"/>
    <w:rsid w:val="00DE60A7"/>
    <w:rsid w:val="00E10B22"/>
    <w:rsid w:val="00E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7CF063B"/>
  <w15:chartTrackingRefBased/>
  <w15:docId w15:val="{CB3DCDDA-A158-4848-A556-B80656EA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7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72"/>
  </w:style>
  <w:style w:type="paragraph" w:styleId="Footer">
    <w:name w:val="footer"/>
    <w:basedOn w:val="Normal"/>
    <w:link w:val="FooterChar"/>
    <w:uiPriority w:val="99"/>
    <w:unhideWhenUsed/>
    <w:rsid w:val="00920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72"/>
  </w:style>
  <w:style w:type="character" w:styleId="Hyperlink">
    <w:name w:val="Hyperlink"/>
    <w:basedOn w:val="DefaultParagraphFont"/>
    <w:uiPriority w:val="99"/>
    <w:unhideWhenUsed/>
    <w:rsid w:val="003C10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5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1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2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8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4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1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5446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6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0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3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6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69877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2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7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27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8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7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8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70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59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64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011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9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93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0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16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8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46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38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72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1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43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91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73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523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2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1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98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afe-care-at-home-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sab.org.uk/esab-ben-sar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1046</Words>
  <Characters>5966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Noel - Practice Lead - SW</dc:creator>
  <cp:keywords/>
  <dc:description/>
  <cp:lastModifiedBy>Emma Bundy - Service Manager ASC</cp:lastModifiedBy>
  <cp:revision>2</cp:revision>
  <dcterms:created xsi:type="dcterms:W3CDTF">2025-11-03T14:20:00Z</dcterms:created>
  <dcterms:modified xsi:type="dcterms:W3CDTF">2025-11-03T14:20:00Z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2025-08-07T14:01:14Z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770c6785-0491-4fea-83ee-f73a51755c0e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