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0241" w:rsidRPr="003C7F53" w:rsidRDefault="008B0241" w:rsidP="008B0241">
      <w:pPr>
        <w:pStyle w:val="ListParagraph"/>
        <w:numPr>
          <w:ilvl w:val="0"/>
          <w:numId w:val="1"/>
        </w:numPr>
        <w:textAlignment w:val="baseline"/>
        <w:rPr>
          <w:rFonts w:ascii="Arial" w:hAnsi="Arial" w:cs="Arial"/>
        </w:rPr>
      </w:pPr>
      <w:r w:rsidRPr="003C7F53">
        <w:rPr>
          <w:rFonts w:ascii="Arial" w:hAnsi="Arial" w:cs="Arial"/>
        </w:rPr>
        <w:t>Significant 7 is an observation tool designed by NELFT and primarily used in South &amp; Mid Essex</w:t>
      </w:r>
      <w:r w:rsidR="00496DCB" w:rsidRPr="003C7F53">
        <w:rPr>
          <w:rFonts w:ascii="Arial" w:hAnsi="Arial" w:cs="Arial"/>
        </w:rPr>
        <w:t>. It</w:t>
      </w:r>
      <w:r w:rsidRPr="003C7F53">
        <w:rPr>
          <w:rFonts w:ascii="Arial" w:hAnsi="Arial" w:cs="Arial"/>
        </w:rPr>
        <w:t xml:space="preserve"> is aimed at </w:t>
      </w:r>
      <w:r w:rsidRPr="003C7F53">
        <w:rPr>
          <w:rFonts w:ascii="Arial" w:eastAsiaTheme="minorEastAsia" w:hAnsi="Arial" w:cs="Arial"/>
          <w:kern w:val="24"/>
        </w:rPr>
        <w:t>helping staff recognise early signs of deterioration. Originally designed for use with older people it has been adapted for those adults with a learning disability.</w:t>
      </w:r>
    </w:p>
    <w:p w:rsidR="008B0241" w:rsidRPr="003C7F53" w:rsidRDefault="008B0241" w:rsidP="008B0241">
      <w:pPr>
        <w:pStyle w:val="ListParagraph"/>
        <w:numPr>
          <w:ilvl w:val="0"/>
          <w:numId w:val="1"/>
        </w:numPr>
        <w:textAlignment w:val="baseline"/>
        <w:rPr>
          <w:rFonts w:ascii="Arial" w:hAnsi="Arial" w:cs="Arial"/>
        </w:rPr>
      </w:pPr>
      <w:r w:rsidRPr="003C7F53">
        <w:rPr>
          <w:rFonts w:ascii="Arial" w:hAnsi="Arial" w:cs="Arial"/>
        </w:rPr>
        <w:t xml:space="preserve">The concept is that staff will start to use the tool if they think </w:t>
      </w:r>
      <w:proofErr w:type="gramStart"/>
      <w:r w:rsidRPr="003C7F53">
        <w:rPr>
          <w:rFonts w:ascii="Arial" w:hAnsi="Arial" w:cs="Arial"/>
        </w:rPr>
        <w:t>someone</w:t>
      </w:r>
      <w:proofErr w:type="gramEnd"/>
      <w:r w:rsidRPr="003C7F53">
        <w:rPr>
          <w:rFonts w:ascii="Arial" w:hAnsi="Arial" w:cs="Arial"/>
        </w:rPr>
        <w:t xml:space="preserve"> they support is becoming unwell. However, we would recommend that if a provider is supporting someone with very complex </w:t>
      </w:r>
      <w:r w:rsidR="00496DCB" w:rsidRPr="003C7F53">
        <w:rPr>
          <w:rFonts w:ascii="Arial" w:hAnsi="Arial" w:cs="Arial"/>
        </w:rPr>
        <w:t>needs,</w:t>
      </w:r>
      <w:r w:rsidRPr="003C7F53">
        <w:rPr>
          <w:rFonts w:ascii="Arial" w:hAnsi="Arial" w:cs="Arial"/>
        </w:rPr>
        <w:t xml:space="preserve"> they should routinely carry out these observations on a weekly basis. </w:t>
      </w:r>
    </w:p>
    <w:p w:rsidR="008B0241" w:rsidRPr="003C7F53" w:rsidRDefault="008B0241" w:rsidP="008B0241">
      <w:pPr>
        <w:pStyle w:val="ListParagraph"/>
        <w:numPr>
          <w:ilvl w:val="0"/>
          <w:numId w:val="1"/>
        </w:numPr>
        <w:textAlignment w:val="baseline"/>
        <w:rPr>
          <w:rFonts w:ascii="Arial" w:hAnsi="Arial" w:cs="Arial"/>
        </w:rPr>
      </w:pPr>
      <w:r w:rsidRPr="003C7F53">
        <w:rPr>
          <w:rFonts w:ascii="Arial" w:hAnsi="Arial" w:cs="Arial"/>
        </w:rPr>
        <w:t xml:space="preserve">The areas identified for observation </w:t>
      </w:r>
      <w:proofErr w:type="gramStart"/>
      <w:r w:rsidRPr="003C7F53">
        <w:rPr>
          <w:rFonts w:ascii="Arial" w:hAnsi="Arial" w:cs="Arial"/>
        </w:rPr>
        <w:t>are:</w:t>
      </w:r>
      <w:proofErr w:type="gramEnd"/>
      <w:r w:rsidRPr="003C7F53">
        <w:rPr>
          <w:rFonts w:ascii="Arial" w:hAnsi="Arial" w:cs="Arial"/>
        </w:rPr>
        <w:t xml:space="preserve"> Confusion, Mood, Breathing, Hydration/Nutrition, Pain, Skin, Toilet and Mobility.</w:t>
      </w:r>
    </w:p>
    <w:p w:rsidR="008B0241" w:rsidRPr="003C7F53" w:rsidRDefault="008B0241" w:rsidP="008B0241">
      <w:pPr>
        <w:pStyle w:val="ListParagraph"/>
        <w:numPr>
          <w:ilvl w:val="0"/>
          <w:numId w:val="1"/>
        </w:numPr>
        <w:textAlignment w:val="baseline"/>
        <w:rPr>
          <w:rFonts w:ascii="Arial" w:hAnsi="Arial" w:cs="Arial"/>
        </w:rPr>
      </w:pPr>
      <w:r w:rsidRPr="003C7F53">
        <w:rPr>
          <w:rFonts w:ascii="Arial" w:hAnsi="Arial" w:cs="Arial"/>
        </w:rPr>
        <w:t>A support worker would not need to make a special point of sitting down with an adult to observe these areas but could subtly make the observations during the routine of the day.</w:t>
      </w:r>
    </w:p>
    <w:p w:rsidR="00CE3548" w:rsidRPr="003C7F53" w:rsidRDefault="00CE3548" w:rsidP="008B0241">
      <w:pPr>
        <w:pStyle w:val="ListParagraph"/>
        <w:numPr>
          <w:ilvl w:val="0"/>
          <w:numId w:val="1"/>
        </w:numPr>
        <w:textAlignment w:val="baseline"/>
        <w:rPr>
          <w:rFonts w:ascii="Arial" w:hAnsi="Arial" w:cs="Arial"/>
        </w:rPr>
      </w:pPr>
      <w:r w:rsidRPr="003C7F53">
        <w:rPr>
          <w:rFonts w:ascii="Arial" w:hAnsi="Arial" w:cs="Arial"/>
        </w:rPr>
        <w:t xml:space="preserve">For </w:t>
      </w:r>
      <w:r w:rsidR="00496DCB" w:rsidRPr="003C7F53">
        <w:rPr>
          <w:rFonts w:ascii="Arial" w:hAnsi="Arial" w:cs="Arial"/>
        </w:rPr>
        <w:t>instance,</w:t>
      </w:r>
      <w:r w:rsidRPr="003C7F53">
        <w:rPr>
          <w:rFonts w:ascii="Arial" w:hAnsi="Arial" w:cs="Arial"/>
        </w:rPr>
        <w:t xml:space="preserve"> skin could be observed during assistance with personal hygiene (looking for a change in colour, rash, heat etc) and hydration and nutrition can be observed during a mealtime (looking for a change in appetite or a decrease in intake of both fluids /food)</w:t>
      </w:r>
    </w:p>
    <w:p w:rsidR="002765C0" w:rsidRPr="003C7F53" w:rsidRDefault="002765C0" w:rsidP="008B0241">
      <w:pPr>
        <w:pStyle w:val="ListParagraph"/>
        <w:numPr>
          <w:ilvl w:val="0"/>
          <w:numId w:val="1"/>
        </w:numPr>
        <w:textAlignment w:val="baseline"/>
        <w:rPr>
          <w:rFonts w:ascii="Arial" w:hAnsi="Arial" w:cs="Arial"/>
        </w:rPr>
      </w:pPr>
      <w:r w:rsidRPr="003C7F53">
        <w:rPr>
          <w:rFonts w:ascii="Arial" w:hAnsi="Arial" w:cs="Arial"/>
        </w:rPr>
        <w:t xml:space="preserve">One important factor is having an individual baseline that advises </w:t>
      </w:r>
      <w:r w:rsidR="00496DCB" w:rsidRPr="003C7F53">
        <w:rPr>
          <w:rFonts w:ascii="Arial" w:hAnsi="Arial" w:cs="Arial"/>
        </w:rPr>
        <w:t xml:space="preserve">staff </w:t>
      </w:r>
      <w:r w:rsidRPr="003C7F53">
        <w:rPr>
          <w:rFonts w:ascii="Arial" w:hAnsi="Arial" w:cs="Arial"/>
        </w:rPr>
        <w:t xml:space="preserve">of the ‘normal’ </w:t>
      </w:r>
      <w:r w:rsidR="00496DCB" w:rsidRPr="003C7F53">
        <w:rPr>
          <w:rFonts w:ascii="Arial" w:hAnsi="Arial" w:cs="Arial"/>
        </w:rPr>
        <w:t>situation for the individual. For example, if the adult has clear skin but a patch of eczema on their back then staff would know this is normal and nothing to worry about. Or if they are usually very engaging and lively then a change in mood and becoming withdrawn may signal a possible health concern.</w:t>
      </w:r>
    </w:p>
    <w:p w:rsidR="00496DCB" w:rsidRPr="003C7F53" w:rsidRDefault="00496DCB" w:rsidP="008B0241">
      <w:pPr>
        <w:pStyle w:val="ListParagraph"/>
        <w:numPr>
          <w:ilvl w:val="0"/>
          <w:numId w:val="1"/>
        </w:numPr>
        <w:textAlignment w:val="baseline"/>
        <w:rPr>
          <w:rFonts w:ascii="Arial" w:hAnsi="Arial" w:cs="Arial"/>
        </w:rPr>
      </w:pPr>
      <w:r w:rsidRPr="003C7F53">
        <w:rPr>
          <w:rFonts w:ascii="Arial" w:hAnsi="Arial" w:cs="Arial"/>
        </w:rPr>
        <w:t>Significant 7 provide a Significant ME chart to complete and there are also alternative, more detailed easy read Individual Baselines that can be completed with each adult.</w:t>
      </w:r>
      <w:r w:rsidR="00CE2753">
        <w:rPr>
          <w:rFonts w:ascii="Arial" w:hAnsi="Arial" w:cs="Arial"/>
        </w:rPr>
        <w:t xml:space="preserve"> </w:t>
      </w:r>
      <w:proofErr w:type="gramStart"/>
      <w:r w:rsidR="00CE2753">
        <w:rPr>
          <w:rFonts w:ascii="Arial" w:hAnsi="Arial" w:cs="Arial"/>
        </w:rPr>
        <w:t>( see</w:t>
      </w:r>
      <w:proofErr w:type="gramEnd"/>
      <w:r w:rsidR="00CE2753">
        <w:rPr>
          <w:rFonts w:ascii="Arial" w:hAnsi="Arial" w:cs="Arial"/>
        </w:rPr>
        <w:t xml:space="preserve"> individual baselines in toolkit)</w:t>
      </w:r>
    </w:p>
    <w:p w:rsidR="00CE3548" w:rsidRPr="003C7F53" w:rsidRDefault="00CE3548" w:rsidP="008B0241">
      <w:pPr>
        <w:pStyle w:val="ListParagraph"/>
        <w:numPr>
          <w:ilvl w:val="0"/>
          <w:numId w:val="1"/>
        </w:numPr>
        <w:textAlignment w:val="baseline"/>
        <w:rPr>
          <w:rFonts w:ascii="Arial" w:hAnsi="Arial" w:cs="Arial"/>
        </w:rPr>
      </w:pPr>
      <w:r w:rsidRPr="003C7F53">
        <w:rPr>
          <w:rFonts w:ascii="Arial" w:hAnsi="Arial" w:cs="Arial"/>
        </w:rPr>
        <w:t xml:space="preserve">The observations are recorded on the weekly chart with a 0 being normal and a 1 for any concerns. </w:t>
      </w:r>
    </w:p>
    <w:p w:rsidR="00CE3548" w:rsidRPr="003C7F53" w:rsidRDefault="00CE3548" w:rsidP="008B0241">
      <w:pPr>
        <w:pStyle w:val="ListParagraph"/>
        <w:numPr>
          <w:ilvl w:val="0"/>
          <w:numId w:val="1"/>
        </w:numPr>
        <w:textAlignment w:val="baseline"/>
        <w:rPr>
          <w:rFonts w:ascii="Arial" w:hAnsi="Arial" w:cs="Arial"/>
        </w:rPr>
      </w:pPr>
      <w:r w:rsidRPr="003C7F53">
        <w:rPr>
          <w:rFonts w:ascii="Arial" w:hAnsi="Arial" w:cs="Arial"/>
        </w:rPr>
        <w:t>Any areas that record a concern should be checked. The accompanying Significant 7 booklet suggests a pathway for checking any concerns</w:t>
      </w:r>
    </w:p>
    <w:p w:rsidR="00CE3548" w:rsidRPr="003C7F53" w:rsidRDefault="00CE3548" w:rsidP="008B0241">
      <w:pPr>
        <w:pStyle w:val="ListParagraph"/>
        <w:numPr>
          <w:ilvl w:val="0"/>
          <w:numId w:val="1"/>
        </w:numPr>
        <w:textAlignment w:val="baseline"/>
        <w:rPr>
          <w:rFonts w:ascii="Arial" w:hAnsi="Arial" w:cs="Arial"/>
        </w:rPr>
      </w:pPr>
      <w:r w:rsidRPr="003C7F53">
        <w:rPr>
          <w:rFonts w:ascii="Arial" w:hAnsi="Arial" w:cs="Arial"/>
        </w:rPr>
        <w:t xml:space="preserve">If there are several </w:t>
      </w:r>
      <w:r w:rsidR="002765C0" w:rsidRPr="003C7F53">
        <w:rPr>
          <w:rFonts w:ascii="Arial" w:hAnsi="Arial" w:cs="Arial"/>
        </w:rPr>
        <w:t>concerns,</w:t>
      </w:r>
      <w:r w:rsidRPr="003C7F53">
        <w:rPr>
          <w:rFonts w:ascii="Arial" w:hAnsi="Arial" w:cs="Arial"/>
        </w:rPr>
        <w:t xml:space="preserve"> then these can be reported to either a GP or 111 or indeed by accessing hospital support. The SBAR </w:t>
      </w:r>
      <w:r w:rsidR="002765C0" w:rsidRPr="003C7F53">
        <w:rPr>
          <w:rFonts w:ascii="Arial" w:hAnsi="Arial" w:cs="Arial"/>
        </w:rPr>
        <w:t xml:space="preserve">flowchart helps to streamline the information you should give when contacting a health professional with concerns </w:t>
      </w:r>
    </w:p>
    <w:p w:rsidR="008B0241" w:rsidRDefault="002765C0" w:rsidP="00261FB1">
      <w:pPr>
        <w:pStyle w:val="ListParagraph"/>
        <w:numPr>
          <w:ilvl w:val="0"/>
          <w:numId w:val="1"/>
        </w:numPr>
        <w:textAlignment w:val="baseline"/>
        <w:rPr>
          <w:rFonts w:ascii="Arial" w:hAnsi="Arial" w:cs="Arial"/>
        </w:rPr>
      </w:pPr>
      <w:r w:rsidRPr="003C7F53">
        <w:rPr>
          <w:rFonts w:ascii="Arial" w:hAnsi="Arial" w:cs="Arial"/>
        </w:rPr>
        <w:t xml:space="preserve">The weekly recordings should be kept on the individuals file as this will be evidence of regular checking which may be required for future medical purposes, annual health checks, keeping families updated and audit purposes (internal, CQC or </w:t>
      </w:r>
      <w:r w:rsidR="003C7F53" w:rsidRPr="003C7F53">
        <w:rPr>
          <w:rFonts w:ascii="Arial" w:hAnsi="Arial" w:cs="Arial"/>
        </w:rPr>
        <w:t>PAMMS)</w:t>
      </w:r>
    </w:p>
    <w:p w:rsidR="002536A8" w:rsidRDefault="002536A8" w:rsidP="002536A8">
      <w:pPr>
        <w:textAlignment w:val="baseline"/>
        <w:rPr>
          <w:rFonts w:ascii="Arial" w:hAnsi="Arial" w:cs="Arial"/>
        </w:rPr>
      </w:pPr>
    </w:p>
    <w:p w:rsidR="002536A8" w:rsidRPr="002536A8" w:rsidRDefault="00BE04E2" w:rsidP="002536A8">
      <w:pPr>
        <w:textAlignment w:val="baseline"/>
        <w:rPr>
          <w:rFonts w:ascii="Arial" w:hAnsi="Arial" w:cs="Arial"/>
        </w:rPr>
      </w:pPr>
      <w:r>
        <w:rPr>
          <w:rFonts w:ascii="Arial" w:hAnsi="Arial" w:cs="Arial"/>
        </w:rPr>
        <w:object w:dxaOrig="1534" w:dyaOrig="997" w14:anchorId="25FAB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7" o:title=""/>
          </v:shape>
          <o:OLEObject Type="Embed" ProgID="AcroExch.Document.DC" ShapeID="_x0000_i1025" DrawAspect="Icon" ObjectID="_1714472537" r:id="rId8"/>
        </w:object>
      </w:r>
      <w:r w:rsidR="00C5350C">
        <w:rPr>
          <w:rFonts w:ascii="Arial" w:hAnsi="Arial" w:cs="Arial"/>
        </w:rPr>
        <w:object w:dxaOrig="1534" w:dyaOrig="997" w14:anchorId="6AD82A44">
          <v:shape id="_x0000_i1026" type="#_x0000_t75" style="width:76.45pt;height:49.5pt" o:ole="">
            <v:imagedata r:id="rId9" o:title=""/>
          </v:shape>
          <o:OLEObject Type="Embed" ProgID="AcroExch.Document.DC" ShapeID="_x0000_i1026" DrawAspect="Icon" ObjectID="_1714472538" r:id="rId10"/>
        </w:object>
      </w:r>
      <w:r w:rsidR="00747A12">
        <w:rPr>
          <w:rFonts w:ascii="Arial" w:hAnsi="Arial" w:cs="Arial"/>
        </w:rPr>
        <w:object w:dxaOrig="1534" w:dyaOrig="997" w14:anchorId="57D8F6FC">
          <v:shape id="_x0000_i1027" type="#_x0000_t75" style="width:76.45pt;height:49.5pt" o:ole="">
            <v:imagedata r:id="rId11" o:title=""/>
          </v:shape>
          <o:OLEObject Type="Embed" ProgID="AcroExch.Document.DC" ShapeID="_x0000_i1027" DrawAspect="Icon" ObjectID="_1714472539" r:id="rId12"/>
        </w:object>
      </w:r>
      <w:r w:rsidR="00747A12">
        <w:rPr>
          <w:rFonts w:ascii="Arial" w:hAnsi="Arial" w:cs="Arial"/>
        </w:rPr>
        <w:object w:dxaOrig="1534" w:dyaOrig="997" w14:anchorId="354AE8CB">
          <v:shape id="_x0000_i1028" type="#_x0000_t75" style="width:76.45pt;height:49.5pt" o:ole="">
            <v:imagedata r:id="rId13" o:title=""/>
          </v:shape>
          <o:OLEObject Type="Embed" ProgID="AcroExch.Document.DC" ShapeID="_x0000_i1028" DrawAspect="Icon" ObjectID="_1714472540" r:id="rId14"/>
        </w:object>
      </w:r>
    </w:p>
    <w:sectPr w:rsidR="002536A8" w:rsidRPr="002536A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0F15" w:rsidRDefault="00D90F15" w:rsidP="00496DCB">
      <w:pPr>
        <w:spacing w:after="0" w:line="240" w:lineRule="auto"/>
      </w:pPr>
      <w:r>
        <w:separator/>
      </w:r>
    </w:p>
  </w:endnote>
  <w:endnote w:type="continuationSeparator" w:id="0">
    <w:p w:rsidR="00D90F15" w:rsidRDefault="00D90F15" w:rsidP="00496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D72" w:rsidRDefault="007C6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D72" w:rsidRDefault="007C6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D72" w:rsidRDefault="007C6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0F15" w:rsidRDefault="00D90F15" w:rsidP="00496DCB">
      <w:pPr>
        <w:spacing w:after="0" w:line="240" w:lineRule="auto"/>
      </w:pPr>
      <w:r>
        <w:separator/>
      </w:r>
    </w:p>
  </w:footnote>
  <w:footnote w:type="continuationSeparator" w:id="0">
    <w:p w:rsidR="00D90F15" w:rsidRDefault="00D90F15" w:rsidP="00496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D72" w:rsidRDefault="007C6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6DCB" w:rsidRDefault="007C6D72" w:rsidP="003C7F53">
    <w:pPr>
      <w:pStyle w:val="Header"/>
      <w:tabs>
        <w:tab w:val="clear" w:pos="4513"/>
        <w:tab w:val="clear" w:pos="9026"/>
        <w:tab w:val="left" w:pos="7635"/>
      </w:tabs>
    </w:pPr>
    <w:r>
      <w:rPr>
        <w:rFonts w:ascii="Arial" w:hAnsi="Arial" w:cs="Arial"/>
        <w:noProof/>
      </w:rPr>
      <w:drawing>
        <wp:inline distT="0" distB="0" distL="0" distR="0" wp14:anchorId="0474C2FD" wp14:editId="0E6917FD">
          <wp:extent cx="961905" cy="447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61905" cy="447619"/>
                  </a:xfrm>
                  <a:prstGeom prst="rect">
                    <a:avLst/>
                  </a:prstGeom>
                </pic:spPr>
              </pic:pic>
            </a:graphicData>
          </a:graphic>
        </wp:inline>
      </w:drawing>
    </w:r>
    <w:r w:rsidR="003C7F53">
      <w:tab/>
    </w:r>
    <w:r w:rsidR="003C7F53" w:rsidRPr="00496DCB">
      <w:rPr>
        <w:noProof/>
      </w:rPr>
      <w:drawing>
        <wp:inline distT="0" distB="0" distL="0" distR="0" wp14:anchorId="19F2F1BC" wp14:editId="6AC25BF0">
          <wp:extent cx="951865" cy="819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79738" cy="843137"/>
                  </a:xfrm>
                  <a:prstGeom prst="rect">
                    <a:avLst/>
                  </a:prstGeom>
                </pic:spPr>
              </pic:pic>
            </a:graphicData>
          </a:graphic>
        </wp:inline>
      </w:drawing>
    </w:r>
    <w:r w:rsidR="003C7F53">
      <w:t xml:space="preserve"> </w:t>
    </w:r>
    <w:r w:rsidR="003C7F53" w:rsidRPr="003C7F53">
      <w:rPr>
        <w:rFonts w:cstheme="minorHAnsi"/>
        <w:b/>
        <w:bCs/>
        <w:color w:val="E2AC00"/>
        <w:sz w:val="48"/>
        <w:szCs w:val="48"/>
      </w:rPr>
      <w:t>OVERVIEW</w:t>
    </w:r>
    <w:r w:rsidR="003C7F53">
      <w:rPr>
        <w:rFonts w:cstheme="minorHAnsi"/>
        <w:b/>
        <w:bCs/>
        <w:color w:val="E2AC00"/>
        <w:sz w:val="48"/>
        <w:szCs w:val="48"/>
      </w:rPr>
      <w:t xml:space="preserve">                        </w:t>
    </w:r>
    <w:r w:rsidR="003C7F53" w:rsidRPr="003C7F53">
      <w:rPr>
        <w:rFonts w:cstheme="minorHAnsi"/>
        <w:b/>
        <w:bCs/>
        <w:color w:val="E2AC00"/>
        <w:sz w:val="48"/>
        <w:szCs w:val="48"/>
      </w:rPr>
      <w:t xml:space="preserve"> </w:t>
    </w:r>
    <w:r w:rsidR="003C7F53">
      <w:t xml:space="preserve">  </w:t>
    </w:r>
    <w:r w:rsidR="003C7F53" w:rsidRPr="003C7F53">
      <w:rPr>
        <w:noProof/>
      </w:rPr>
      <w:drawing>
        <wp:inline distT="0" distB="0" distL="0" distR="0" wp14:anchorId="393BB8B7" wp14:editId="432A0CDD">
          <wp:extent cx="1562318" cy="52394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562318" cy="523948"/>
                  </a:xfrm>
                  <a:prstGeom prst="rect">
                    <a:avLst/>
                  </a:prstGeom>
                </pic:spPr>
              </pic:pic>
            </a:graphicData>
          </a:graphic>
        </wp:inline>
      </w:drawing>
    </w:r>
    <w:r w:rsidR="003C7F5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D72" w:rsidRDefault="007C6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6A2B9C"/>
    <w:multiLevelType w:val="hybridMultilevel"/>
    <w:tmpl w:val="764E23C0"/>
    <w:lvl w:ilvl="0" w:tplc="00003E80">
      <w:start w:val="1"/>
      <w:numFmt w:val="bullet"/>
      <w:lvlText w:val="•"/>
      <w:lvlJc w:val="left"/>
      <w:pPr>
        <w:tabs>
          <w:tab w:val="num" w:pos="720"/>
        </w:tabs>
        <w:ind w:left="720" w:hanging="360"/>
      </w:pPr>
      <w:rPr>
        <w:rFonts w:ascii="Arial" w:hAnsi="Arial" w:hint="default"/>
      </w:rPr>
    </w:lvl>
    <w:lvl w:ilvl="1" w:tplc="21D8E220" w:tentative="1">
      <w:start w:val="1"/>
      <w:numFmt w:val="bullet"/>
      <w:lvlText w:val="•"/>
      <w:lvlJc w:val="left"/>
      <w:pPr>
        <w:tabs>
          <w:tab w:val="num" w:pos="1440"/>
        </w:tabs>
        <w:ind w:left="1440" w:hanging="360"/>
      </w:pPr>
      <w:rPr>
        <w:rFonts w:ascii="Arial" w:hAnsi="Arial" w:hint="default"/>
      </w:rPr>
    </w:lvl>
    <w:lvl w:ilvl="2" w:tplc="95D46916" w:tentative="1">
      <w:start w:val="1"/>
      <w:numFmt w:val="bullet"/>
      <w:lvlText w:val="•"/>
      <w:lvlJc w:val="left"/>
      <w:pPr>
        <w:tabs>
          <w:tab w:val="num" w:pos="2160"/>
        </w:tabs>
        <w:ind w:left="2160" w:hanging="360"/>
      </w:pPr>
      <w:rPr>
        <w:rFonts w:ascii="Arial" w:hAnsi="Arial" w:hint="default"/>
      </w:rPr>
    </w:lvl>
    <w:lvl w:ilvl="3" w:tplc="0AE41EB4" w:tentative="1">
      <w:start w:val="1"/>
      <w:numFmt w:val="bullet"/>
      <w:lvlText w:val="•"/>
      <w:lvlJc w:val="left"/>
      <w:pPr>
        <w:tabs>
          <w:tab w:val="num" w:pos="2880"/>
        </w:tabs>
        <w:ind w:left="2880" w:hanging="360"/>
      </w:pPr>
      <w:rPr>
        <w:rFonts w:ascii="Arial" w:hAnsi="Arial" w:hint="default"/>
      </w:rPr>
    </w:lvl>
    <w:lvl w:ilvl="4" w:tplc="2896607A" w:tentative="1">
      <w:start w:val="1"/>
      <w:numFmt w:val="bullet"/>
      <w:lvlText w:val="•"/>
      <w:lvlJc w:val="left"/>
      <w:pPr>
        <w:tabs>
          <w:tab w:val="num" w:pos="3600"/>
        </w:tabs>
        <w:ind w:left="3600" w:hanging="360"/>
      </w:pPr>
      <w:rPr>
        <w:rFonts w:ascii="Arial" w:hAnsi="Arial" w:hint="default"/>
      </w:rPr>
    </w:lvl>
    <w:lvl w:ilvl="5" w:tplc="BEEE455C" w:tentative="1">
      <w:start w:val="1"/>
      <w:numFmt w:val="bullet"/>
      <w:lvlText w:val="•"/>
      <w:lvlJc w:val="left"/>
      <w:pPr>
        <w:tabs>
          <w:tab w:val="num" w:pos="4320"/>
        </w:tabs>
        <w:ind w:left="4320" w:hanging="360"/>
      </w:pPr>
      <w:rPr>
        <w:rFonts w:ascii="Arial" w:hAnsi="Arial" w:hint="default"/>
      </w:rPr>
    </w:lvl>
    <w:lvl w:ilvl="6" w:tplc="546E64B6" w:tentative="1">
      <w:start w:val="1"/>
      <w:numFmt w:val="bullet"/>
      <w:lvlText w:val="•"/>
      <w:lvlJc w:val="left"/>
      <w:pPr>
        <w:tabs>
          <w:tab w:val="num" w:pos="5040"/>
        </w:tabs>
        <w:ind w:left="5040" w:hanging="360"/>
      </w:pPr>
      <w:rPr>
        <w:rFonts w:ascii="Arial" w:hAnsi="Arial" w:hint="default"/>
      </w:rPr>
    </w:lvl>
    <w:lvl w:ilvl="7" w:tplc="FD425DB8" w:tentative="1">
      <w:start w:val="1"/>
      <w:numFmt w:val="bullet"/>
      <w:lvlText w:val="•"/>
      <w:lvlJc w:val="left"/>
      <w:pPr>
        <w:tabs>
          <w:tab w:val="num" w:pos="5760"/>
        </w:tabs>
        <w:ind w:left="5760" w:hanging="360"/>
      </w:pPr>
      <w:rPr>
        <w:rFonts w:ascii="Arial" w:hAnsi="Arial" w:hint="default"/>
      </w:rPr>
    </w:lvl>
    <w:lvl w:ilvl="8" w:tplc="F86AA84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41"/>
    <w:rsid w:val="002536A8"/>
    <w:rsid w:val="002765C0"/>
    <w:rsid w:val="003C7F53"/>
    <w:rsid w:val="00455F4D"/>
    <w:rsid w:val="00496DCB"/>
    <w:rsid w:val="00747A12"/>
    <w:rsid w:val="0078640C"/>
    <w:rsid w:val="007A596B"/>
    <w:rsid w:val="007C6D72"/>
    <w:rsid w:val="008B0241"/>
    <w:rsid w:val="008B55B5"/>
    <w:rsid w:val="00BE04E2"/>
    <w:rsid w:val="00C5350C"/>
    <w:rsid w:val="00CB6F57"/>
    <w:rsid w:val="00CE2753"/>
    <w:rsid w:val="00CE3548"/>
    <w:rsid w:val="00D90F15"/>
    <w:rsid w:val="00F414CC"/>
    <w:rsid w:val="00FF7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96E62"/>
  <w15:chartTrackingRefBased/>
  <w15:docId w15:val="{93921B42-83D5-4793-9AB7-7C8AEBE4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41"/>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96D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DCB"/>
  </w:style>
  <w:style w:type="paragraph" w:styleId="Footer">
    <w:name w:val="footer"/>
    <w:basedOn w:val="Normal"/>
    <w:link w:val="FooterChar"/>
    <w:uiPriority w:val="99"/>
    <w:unhideWhenUsed/>
    <w:rsid w:val="00496D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475496">
      <w:bodyDiv w:val="1"/>
      <w:marLeft w:val="0"/>
      <w:marRight w:val="0"/>
      <w:marTop w:val="0"/>
      <w:marBottom w:val="0"/>
      <w:divBdr>
        <w:top w:val="none" w:sz="0" w:space="0" w:color="auto"/>
        <w:left w:val="none" w:sz="0" w:space="0" w:color="auto"/>
        <w:bottom w:val="none" w:sz="0" w:space="0" w:color="auto"/>
        <w:right w:val="none" w:sz="0" w:space="0" w:color="auto"/>
      </w:divBdr>
      <w:divsChild>
        <w:div w:id="63649792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Peckham - Provider Quality Innovation Manager</dc:creator>
  <cp:keywords/>
  <dc:description/>
  <cp:lastModifiedBy>Anyes Rodgers - Procurement Support Officer</cp:lastModifiedBy>
  <cp:revision>1</cp:revision>
  <dcterms:created xsi:type="dcterms:W3CDTF">2022-05-19T12:28:00Z</dcterms:created>
  <dcterms:modified xsi:type="dcterms:W3CDTF">2022-05-19T12:28:00Z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2021-11-17T14:12:56Z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1bbf7866-16ed-4648-bd11-00008f671ebc</vt:lpwstr>
  </property>
  <property fmtid="{D5CDD505-2E9C-101B-9397-08002B2CF9AE}" pid="8" name="MSIP_Label_39d8be9e-c8d9-4b9c-bd40-2c27cc7ea2e6_ContentBits">
    <vt:lpwstr>0</vt:lpwstr>
  </property>
</Properties>
</file>