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4C6E" w14:textId="27ED5230" w:rsidR="005A5B6D" w:rsidRPr="006724CB" w:rsidRDefault="00D800E7" w:rsidP="00D800E7">
      <w:pPr>
        <w:spacing w:after="0" w:line="240" w:lineRule="auto"/>
        <w:rPr>
          <w:b/>
          <w:bCs/>
        </w:rPr>
      </w:pPr>
      <w:r w:rsidRPr="006724CB">
        <w:rPr>
          <w:b/>
          <w:bCs/>
        </w:rPr>
        <w:t>Provider Questions</w:t>
      </w:r>
    </w:p>
    <w:p w14:paraId="5676D547" w14:textId="27E0D677" w:rsidR="00D800E7" w:rsidRDefault="00D800E7" w:rsidP="00D800E7">
      <w:pPr>
        <w:spacing w:after="0" w:line="240" w:lineRule="auto"/>
      </w:pPr>
    </w:p>
    <w:p w14:paraId="77906C9E" w14:textId="7E2A07C2" w:rsidR="00D800E7" w:rsidRDefault="00D800E7" w:rsidP="00D800E7">
      <w:pPr>
        <w:spacing w:after="0" w:line="240" w:lineRule="auto"/>
      </w:pPr>
      <w:r>
        <w:t xml:space="preserve">This document contains the questions that providers are required to complete and </w:t>
      </w:r>
      <w:r w:rsidR="009A1715">
        <w:t>evidence</w:t>
      </w:r>
      <w:r>
        <w:t xml:space="preserve"> </w:t>
      </w:r>
      <w:proofErr w:type="gramStart"/>
      <w:r>
        <w:t>in order to</w:t>
      </w:r>
      <w:proofErr w:type="gramEnd"/>
      <w:r>
        <w:t xml:space="preserve"> be accredited to </w:t>
      </w:r>
      <w:r w:rsidR="009A1715">
        <w:t xml:space="preserve">provide support </w:t>
      </w:r>
      <w:r>
        <w:t>for adults with learning disabilities and autism under the Ageing Well programme.</w:t>
      </w:r>
    </w:p>
    <w:p w14:paraId="31AFE87A" w14:textId="44765F98" w:rsidR="00D800E7" w:rsidRDefault="00D800E7" w:rsidP="00D800E7">
      <w:pPr>
        <w:spacing w:after="0" w:line="240" w:lineRule="auto"/>
      </w:pPr>
    </w:p>
    <w:p w14:paraId="0C3E2ACE" w14:textId="4C0A5450" w:rsidR="00D800E7" w:rsidRDefault="00D800E7" w:rsidP="00D800E7">
      <w:pPr>
        <w:spacing w:after="0" w:line="240" w:lineRule="auto"/>
      </w:pPr>
      <w:r>
        <w:t xml:space="preserve">The Ageing Well programme </w:t>
      </w:r>
      <w:r w:rsidR="00E214A7">
        <w:t>has been developed by Essex County Council to better understand the challenges faced by adults with learning disabilities and/or autism and to ensure our provider market was able to meet these challenges in the future.</w:t>
      </w:r>
    </w:p>
    <w:p w14:paraId="20D5C305" w14:textId="43A75622" w:rsidR="00D800E7" w:rsidRDefault="00D800E7" w:rsidP="00D800E7">
      <w:pPr>
        <w:spacing w:after="0" w:line="240" w:lineRule="auto"/>
      </w:pPr>
    </w:p>
    <w:p w14:paraId="05A01C7D" w14:textId="57411E50" w:rsidR="00D800E7" w:rsidRDefault="00D800E7" w:rsidP="00D800E7">
      <w:pPr>
        <w:spacing w:after="0" w:line="240" w:lineRule="auto"/>
      </w:pPr>
      <w:r>
        <w:t xml:space="preserve">Questions are divided into sections and all providers will be required to answer the questions within the mandatory sections. An additional section is included for those providers who are </w:t>
      </w:r>
      <w:r w:rsidR="00DC3E79">
        <w:t>primarily specialists in older persons’ care and have more than 80% of placements from Essex County Council within that specialism.</w:t>
      </w:r>
    </w:p>
    <w:p w14:paraId="6C46F09C" w14:textId="7889729A" w:rsidR="00D800E7" w:rsidRDefault="00D800E7" w:rsidP="00D800E7">
      <w:pPr>
        <w:spacing w:after="0" w:line="240" w:lineRule="auto"/>
      </w:pPr>
    </w:p>
    <w:p w14:paraId="4BFE675E" w14:textId="397EA2A6" w:rsidR="00D800E7" w:rsidRDefault="00D800E7" w:rsidP="00D800E7">
      <w:pPr>
        <w:spacing w:after="0" w:line="240" w:lineRule="auto"/>
      </w:pPr>
      <w:r>
        <w:t>The questions are linked to the standards which are listed in the Ageing Well Standards document.</w:t>
      </w:r>
    </w:p>
    <w:p w14:paraId="4FF1978E" w14:textId="77777777" w:rsidR="00AC33C5" w:rsidRDefault="00AC33C5" w:rsidP="00D800E7">
      <w:pPr>
        <w:spacing w:after="0" w:line="240" w:lineRule="auto"/>
      </w:pPr>
    </w:p>
    <w:p w14:paraId="3F662CB0" w14:textId="3D34D289" w:rsidR="00DC3E79" w:rsidRDefault="00D9740B" w:rsidP="00D800E7">
      <w:pPr>
        <w:spacing w:after="0" w:line="240" w:lineRule="auto"/>
      </w:pPr>
      <w:r>
        <w:t>‘</w:t>
      </w:r>
      <w:r w:rsidR="0026130D">
        <w:t xml:space="preserve">Thinking about what you </w:t>
      </w:r>
      <w:r w:rsidR="009D3E44">
        <w:t xml:space="preserve">learned from the Ageing Well training and </w:t>
      </w:r>
      <w:r>
        <w:t>alongside your own research and knowledge</w:t>
      </w:r>
      <w:r w:rsidR="008301DA">
        <w:t>,</w:t>
      </w:r>
      <w:r>
        <w:t xml:space="preserve"> clicks on these links to fin</w:t>
      </w:r>
      <w:r w:rsidR="008301DA">
        <w:t>d</w:t>
      </w:r>
      <w:r>
        <w:t xml:space="preserve"> </w:t>
      </w:r>
      <w:r w:rsidR="00C34209">
        <w:t xml:space="preserve">additional </w:t>
      </w:r>
      <w:r>
        <w:t xml:space="preserve">useful information to help with your answers </w:t>
      </w:r>
      <w:r w:rsidR="00AC0896">
        <w:t>to these question</w:t>
      </w:r>
      <w:r w:rsidR="008301DA">
        <w:t>s</w:t>
      </w:r>
      <w:r w:rsidR="00AC0896">
        <w:t xml:space="preserve">’ </w:t>
      </w:r>
    </w:p>
    <w:p w14:paraId="77BB9907" w14:textId="72EA9155" w:rsidR="002272DE" w:rsidRDefault="002272DE" w:rsidP="00D800E7">
      <w:pPr>
        <w:spacing w:after="0" w:line="240" w:lineRule="auto"/>
      </w:pPr>
    </w:p>
    <w:p w14:paraId="2BD66A62" w14:textId="4AA74873" w:rsidR="002272DE" w:rsidRDefault="002272DE" w:rsidP="00D800E7">
      <w:pPr>
        <w:spacing w:after="0" w:line="240" w:lineRule="auto"/>
      </w:pPr>
      <w:r>
        <w:t>If you have yet to attend the Ageing Well training</w:t>
      </w:r>
      <w:r w:rsidR="00AC33C5">
        <w:t xml:space="preserve">, please tick here </w:t>
      </w:r>
      <w:sdt>
        <w:sdtPr>
          <w:rPr>
            <w:sz w:val="32"/>
            <w:szCs w:val="32"/>
          </w:rPr>
          <w:id w:val="202844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3C5" w:rsidRPr="00366D0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C44CDB4" w14:textId="7CAAE141" w:rsidR="00AC0896" w:rsidRDefault="00AC0896" w:rsidP="00D800E7">
      <w:pPr>
        <w:spacing w:after="0" w:line="240" w:lineRule="auto"/>
      </w:pPr>
    </w:p>
    <w:p w14:paraId="33099A9B" w14:textId="77777777" w:rsidR="00366D09" w:rsidRPr="00626B15" w:rsidRDefault="00366D09" w:rsidP="00366D09">
      <w:pPr>
        <w:rPr>
          <w:rFonts w:cstheme="minorHAnsi"/>
          <w:b/>
          <w:bCs/>
          <w:sz w:val="24"/>
          <w:szCs w:val="24"/>
        </w:rPr>
      </w:pPr>
      <w:r w:rsidRPr="00626B15">
        <w:rPr>
          <w:rFonts w:cstheme="minorHAnsi"/>
          <w:b/>
          <w:bCs/>
          <w:sz w:val="24"/>
          <w:szCs w:val="24"/>
        </w:rPr>
        <w:t>Useful links</w:t>
      </w:r>
    </w:p>
    <w:p w14:paraId="127D0D7E" w14:textId="77777777" w:rsidR="00366D09" w:rsidRPr="003625A0" w:rsidRDefault="00366D09" w:rsidP="00366D09">
      <w:pPr>
        <w:rPr>
          <w:rFonts w:cstheme="minorHAnsi"/>
          <w:sz w:val="20"/>
          <w:szCs w:val="20"/>
        </w:rPr>
      </w:pPr>
      <w:hyperlink r:id="rId6" w:history="1">
        <w:r w:rsidRPr="003625A0">
          <w:rPr>
            <w:rStyle w:val="Hyperlink"/>
            <w:rFonts w:cstheme="minorHAnsi"/>
            <w:sz w:val="20"/>
            <w:szCs w:val="20"/>
          </w:rPr>
          <w:t>What is Learning Disability?</w:t>
        </w:r>
      </w:hyperlink>
    </w:p>
    <w:p w14:paraId="627B64CD" w14:textId="77777777" w:rsidR="00366D09" w:rsidRPr="003625A0" w:rsidRDefault="00366D09" w:rsidP="00366D09">
      <w:pPr>
        <w:rPr>
          <w:rFonts w:cstheme="minorHAnsi"/>
          <w:sz w:val="20"/>
          <w:szCs w:val="20"/>
        </w:rPr>
      </w:pPr>
      <w:hyperlink r:id="rId7" w:history="1">
        <w:r w:rsidRPr="003625A0">
          <w:rPr>
            <w:rStyle w:val="Hyperlink"/>
            <w:rFonts w:cstheme="minorHAnsi"/>
            <w:sz w:val="20"/>
            <w:szCs w:val="20"/>
          </w:rPr>
          <w:t>Health inequalities</w:t>
        </w:r>
      </w:hyperlink>
    </w:p>
    <w:p w14:paraId="32D6F7FF" w14:textId="77777777" w:rsidR="00366D09" w:rsidRPr="003625A0" w:rsidRDefault="00366D09" w:rsidP="00366D09">
      <w:pPr>
        <w:rPr>
          <w:rFonts w:cstheme="minorHAnsi"/>
          <w:sz w:val="20"/>
          <w:szCs w:val="20"/>
        </w:rPr>
      </w:pPr>
      <w:hyperlink r:id="rId8" w:history="1">
        <w:r w:rsidRPr="003625A0">
          <w:rPr>
            <w:rStyle w:val="Hyperlink"/>
            <w:rFonts w:cstheme="minorHAnsi"/>
            <w:sz w:val="20"/>
            <w:szCs w:val="20"/>
          </w:rPr>
          <w:t>What is autism and the common characteristics?</w:t>
        </w:r>
      </w:hyperlink>
    </w:p>
    <w:p w14:paraId="7BF4BE36" w14:textId="77777777" w:rsidR="00366D09" w:rsidRPr="003625A0" w:rsidRDefault="00366D09" w:rsidP="00366D09">
      <w:pPr>
        <w:rPr>
          <w:rFonts w:cstheme="minorHAnsi"/>
          <w:sz w:val="20"/>
          <w:szCs w:val="20"/>
        </w:rPr>
      </w:pPr>
      <w:hyperlink r:id="rId9" w:history="1">
        <w:r w:rsidRPr="003625A0">
          <w:rPr>
            <w:rStyle w:val="Hyperlink"/>
            <w:rFonts w:cstheme="minorHAnsi"/>
            <w:sz w:val="20"/>
            <w:szCs w:val="20"/>
          </w:rPr>
          <w:t>Reasonable adjustments in hospital</w:t>
        </w:r>
      </w:hyperlink>
    </w:p>
    <w:p w14:paraId="77320FE1" w14:textId="77777777" w:rsidR="00366D09" w:rsidRPr="003625A0" w:rsidRDefault="00366D09" w:rsidP="00366D09">
      <w:pPr>
        <w:rPr>
          <w:rFonts w:cstheme="minorHAnsi"/>
          <w:sz w:val="20"/>
          <w:szCs w:val="20"/>
        </w:rPr>
      </w:pPr>
      <w:hyperlink r:id="rId10" w:history="1">
        <w:r w:rsidRPr="003625A0">
          <w:rPr>
            <w:rStyle w:val="Hyperlink"/>
            <w:rFonts w:cstheme="minorHAnsi"/>
            <w:sz w:val="20"/>
            <w:szCs w:val="20"/>
          </w:rPr>
          <w:t>Down's syndrome</w:t>
        </w:r>
      </w:hyperlink>
    </w:p>
    <w:p w14:paraId="56982B17" w14:textId="77777777" w:rsidR="00366D09" w:rsidRDefault="00366D09" w:rsidP="00366D09">
      <w:pPr>
        <w:rPr>
          <w:rFonts w:cstheme="minorHAnsi"/>
          <w:sz w:val="20"/>
          <w:szCs w:val="20"/>
        </w:rPr>
      </w:pPr>
      <w:hyperlink r:id="rId11" w:history="1">
        <w:r w:rsidRPr="003625A0">
          <w:rPr>
            <w:rStyle w:val="Hyperlink"/>
            <w:rFonts w:cstheme="minorHAnsi"/>
            <w:sz w:val="20"/>
            <w:szCs w:val="20"/>
          </w:rPr>
          <w:t>Communicating with someone with a Learning Disability</w:t>
        </w:r>
      </w:hyperlink>
    </w:p>
    <w:p w14:paraId="429073D9" w14:textId="38EB299B" w:rsidR="00366D09" w:rsidRPr="00366D09" w:rsidRDefault="00366D09" w:rsidP="00366D09">
      <w:pPr>
        <w:rPr>
          <w:rFonts w:cstheme="minorHAnsi"/>
          <w:sz w:val="20"/>
          <w:szCs w:val="20"/>
        </w:rPr>
      </w:pPr>
      <w:hyperlink r:id="rId12" w:history="1">
        <w:r>
          <w:rPr>
            <w:rStyle w:val="Hyperlink"/>
            <w:rFonts w:cstheme="minorHAnsi"/>
            <w:sz w:val="20"/>
            <w:szCs w:val="20"/>
          </w:rPr>
          <w:t>Communication passports</w:t>
        </w:r>
      </w:hyperlink>
    </w:p>
    <w:p w14:paraId="6B518FE1" w14:textId="77777777" w:rsidR="00366D09" w:rsidRDefault="00366D09" w:rsidP="00D800E7">
      <w:pPr>
        <w:spacing w:after="0" w:line="240" w:lineRule="auto"/>
      </w:pPr>
    </w:p>
    <w:p w14:paraId="56CE0B5B" w14:textId="4004141F" w:rsidR="00DC3E79" w:rsidRPr="006724CB" w:rsidRDefault="00DC3E79" w:rsidP="00D800E7">
      <w:pPr>
        <w:spacing w:after="0" w:line="240" w:lineRule="auto"/>
        <w:rPr>
          <w:b/>
          <w:bCs/>
        </w:rPr>
      </w:pPr>
      <w:r w:rsidRPr="006724CB">
        <w:rPr>
          <w:b/>
          <w:bCs/>
        </w:rPr>
        <w:t>Mandatory Questions – to be completed by all providers</w:t>
      </w:r>
    </w:p>
    <w:p w14:paraId="1BDAC919" w14:textId="33618FB0" w:rsidR="00DC3E79" w:rsidRDefault="00DC3E79" w:rsidP="00D8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DC3E79" w14:paraId="6EFA8C27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627129E6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2A6139FE" w14:textId="381DFC7D" w:rsidR="00DC3E79" w:rsidRPr="006724CB" w:rsidRDefault="00520FBD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 xml:space="preserve">Section 1: </w:t>
            </w:r>
            <w:r w:rsidR="00DC3E79" w:rsidRPr="006724CB">
              <w:rPr>
                <w:b/>
                <w:bCs/>
              </w:rPr>
              <w:t>Training</w:t>
            </w:r>
          </w:p>
        </w:tc>
      </w:tr>
      <w:tr w:rsidR="00DC3E79" w14:paraId="0BDF9BBE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1CDFADEE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4C203D61" w14:textId="45F1B739" w:rsidR="00DC3E79" w:rsidRPr="006724CB" w:rsidRDefault="00DC3E79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 xml:space="preserve">Standard 2 </w:t>
            </w:r>
          </w:p>
        </w:tc>
      </w:tr>
      <w:tr w:rsidR="00DC3E79" w14:paraId="4CC4125E" w14:textId="77777777" w:rsidTr="00DC3E79">
        <w:tc>
          <w:tcPr>
            <w:tcW w:w="704" w:type="dxa"/>
          </w:tcPr>
          <w:p w14:paraId="1C6671E9" w14:textId="77777777" w:rsidR="00DC3E79" w:rsidRDefault="00DC3E79" w:rsidP="00D800E7"/>
        </w:tc>
        <w:tc>
          <w:tcPr>
            <w:tcW w:w="8312" w:type="dxa"/>
          </w:tcPr>
          <w:p w14:paraId="3222622A" w14:textId="440FFCDF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Q1 Why do we need to consider the ageing process for people with learning di</w:t>
            </w:r>
            <w:r w:rsidR="00520FBD">
              <w:rPr>
                <w:rFonts w:cstheme="minorHAnsi"/>
                <w:sz w:val="20"/>
                <w:szCs w:val="20"/>
              </w:rPr>
              <w:t>s</w:t>
            </w:r>
            <w:r w:rsidRPr="003625A0">
              <w:rPr>
                <w:rFonts w:cstheme="minorHAnsi"/>
                <w:sz w:val="20"/>
                <w:szCs w:val="20"/>
              </w:rPr>
              <w:t>abilities at an earlier age?</w:t>
            </w:r>
          </w:p>
          <w:p w14:paraId="2161075B" w14:textId="77777777" w:rsidR="00FE3F7F" w:rsidRDefault="00FE3F7F" w:rsidP="00D800E7">
            <w:pPr>
              <w:rPr>
                <w:rFonts w:cstheme="minorHAnsi"/>
                <w:sz w:val="20"/>
                <w:szCs w:val="20"/>
              </w:rPr>
            </w:pPr>
          </w:p>
          <w:p w14:paraId="4E3DAC96" w14:textId="77777777" w:rsidR="00FE3F7F" w:rsidRDefault="00FE3F7F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212CBFBA" w14:textId="49E55CCD" w:rsidR="00FE3F7F" w:rsidRPr="00DC3E79" w:rsidRDefault="00FE3F7F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lists at least three relevant reasons for the need to consider the ageing process for people with learning disabilities</w:t>
            </w:r>
            <w:r w:rsidR="000A7A9E">
              <w:rPr>
                <w:rFonts w:cstheme="minorHAnsi"/>
                <w:sz w:val="20"/>
                <w:szCs w:val="20"/>
              </w:rPr>
              <w:t xml:space="preserve"> and/or autism</w:t>
            </w:r>
            <w:r>
              <w:rPr>
                <w:rFonts w:cstheme="minorHAnsi"/>
                <w:sz w:val="20"/>
                <w:szCs w:val="20"/>
              </w:rPr>
              <w:t xml:space="preserve"> at an earlier age.</w:t>
            </w:r>
          </w:p>
        </w:tc>
      </w:tr>
      <w:tr w:rsidR="00DC3E79" w14:paraId="28CCD67B" w14:textId="77777777" w:rsidTr="00DC3E79">
        <w:tc>
          <w:tcPr>
            <w:tcW w:w="704" w:type="dxa"/>
          </w:tcPr>
          <w:p w14:paraId="19018B26" w14:textId="77777777" w:rsidR="00DC3E79" w:rsidRDefault="00DC3E79" w:rsidP="00D800E7"/>
        </w:tc>
        <w:tc>
          <w:tcPr>
            <w:tcW w:w="8312" w:type="dxa"/>
          </w:tcPr>
          <w:p w14:paraId="19B5E5A1" w14:textId="77777777" w:rsidR="00DC3E79" w:rsidRDefault="00DC3E79" w:rsidP="00D800E7"/>
          <w:p w14:paraId="4569F685" w14:textId="77777777" w:rsidR="00520FBD" w:rsidRDefault="00520FBD" w:rsidP="00D800E7"/>
          <w:p w14:paraId="1A3C0A08" w14:textId="77777777" w:rsidR="00520FBD" w:rsidRDefault="00520FBD" w:rsidP="00D800E7"/>
          <w:p w14:paraId="6B43F2F7" w14:textId="0D2331D9" w:rsidR="00520FBD" w:rsidRDefault="00520FBD" w:rsidP="00D800E7"/>
        </w:tc>
      </w:tr>
      <w:tr w:rsidR="00DC3E79" w14:paraId="604C5D95" w14:textId="77777777" w:rsidTr="00DC3E79">
        <w:tc>
          <w:tcPr>
            <w:tcW w:w="704" w:type="dxa"/>
          </w:tcPr>
          <w:p w14:paraId="554D0420" w14:textId="77777777" w:rsidR="00DC3E79" w:rsidRDefault="00DC3E79" w:rsidP="00D800E7"/>
        </w:tc>
        <w:tc>
          <w:tcPr>
            <w:tcW w:w="8312" w:type="dxa"/>
          </w:tcPr>
          <w:p w14:paraId="59699598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Q2 Name three early warning signs of frailty and ageing</w:t>
            </w:r>
          </w:p>
          <w:p w14:paraId="16C43D79" w14:textId="77777777" w:rsidR="00FE3F7F" w:rsidRDefault="00FE3F7F" w:rsidP="00D800E7">
            <w:pPr>
              <w:rPr>
                <w:rFonts w:cstheme="minorHAnsi"/>
                <w:sz w:val="20"/>
                <w:szCs w:val="20"/>
              </w:rPr>
            </w:pPr>
          </w:p>
          <w:p w14:paraId="162BB82D" w14:textId="77777777" w:rsidR="00FE3F7F" w:rsidRDefault="00FE3F7F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06A4187E" w14:textId="147F726E" w:rsidR="00FE3F7F" w:rsidRPr="00DC3E79" w:rsidRDefault="000A7A9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lists at least three relevant warning signs of frailty and ageing for people with learning disabilities and/or autism.</w:t>
            </w:r>
          </w:p>
        </w:tc>
      </w:tr>
      <w:tr w:rsidR="00DC3E79" w14:paraId="4EC10A21" w14:textId="77777777" w:rsidTr="00520FBD">
        <w:trPr>
          <w:trHeight w:val="1061"/>
        </w:trPr>
        <w:tc>
          <w:tcPr>
            <w:tcW w:w="704" w:type="dxa"/>
          </w:tcPr>
          <w:p w14:paraId="6CAF05BA" w14:textId="77777777" w:rsidR="00DC3E79" w:rsidRDefault="00DC3E79" w:rsidP="00D800E7"/>
        </w:tc>
        <w:tc>
          <w:tcPr>
            <w:tcW w:w="8312" w:type="dxa"/>
          </w:tcPr>
          <w:p w14:paraId="117BA04B" w14:textId="77777777" w:rsidR="00DC3E79" w:rsidRDefault="00DC3E79" w:rsidP="00D800E7"/>
        </w:tc>
      </w:tr>
      <w:tr w:rsidR="00DC3E79" w14:paraId="07428560" w14:textId="77777777" w:rsidTr="00DC3E79">
        <w:tc>
          <w:tcPr>
            <w:tcW w:w="704" w:type="dxa"/>
          </w:tcPr>
          <w:p w14:paraId="5EAE6642" w14:textId="77777777" w:rsidR="00DC3E79" w:rsidRDefault="00DC3E79" w:rsidP="00D800E7"/>
        </w:tc>
        <w:tc>
          <w:tcPr>
            <w:tcW w:w="8312" w:type="dxa"/>
          </w:tcPr>
          <w:p w14:paraId="4C398773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 xml:space="preserve">Q3 Name three common health conditions associated with ageing. </w:t>
            </w:r>
          </w:p>
          <w:p w14:paraId="7987223A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</w:p>
          <w:p w14:paraId="50390C8C" w14:textId="77777777" w:rsidR="000A7A9E" w:rsidRDefault="000A7A9E" w:rsidP="000A7A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6395DCBF" w14:textId="1B2ED69B" w:rsidR="000A7A9E" w:rsidRPr="00DC3E79" w:rsidRDefault="000A7A9E" w:rsidP="000A7A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lists three common health conditions associated with ageing for people with learning disabilities and/or autism.</w:t>
            </w:r>
          </w:p>
        </w:tc>
      </w:tr>
      <w:tr w:rsidR="00DC3E79" w14:paraId="073EECB9" w14:textId="77777777" w:rsidTr="00520FBD">
        <w:trPr>
          <w:trHeight w:val="1096"/>
        </w:trPr>
        <w:tc>
          <w:tcPr>
            <w:tcW w:w="704" w:type="dxa"/>
          </w:tcPr>
          <w:p w14:paraId="1E035C44" w14:textId="77777777" w:rsidR="00DC3E79" w:rsidRDefault="00DC3E79" w:rsidP="00D800E7"/>
        </w:tc>
        <w:tc>
          <w:tcPr>
            <w:tcW w:w="8312" w:type="dxa"/>
          </w:tcPr>
          <w:p w14:paraId="01F74C83" w14:textId="77777777" w:rsidR="00DC3E79" w:rsidRDefault="00DC3E79" w:rsidP="00D800E7"/>
        </w:tc>
      </w:tr>
      <w:tr w:rsidR="00DC3E79" w14:paraId="6D21D3BF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7BB94282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0D395FEE" w14:textId="650EDECB" w:rsidR="00DC3E79" w:rsidRPr="006724CB" w:rsidRDefault="00DC3E79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 xml:space="preserve">Standard 3  </w:t>
            </w:r>
          </w:p>
        </w:tc>
      </w:tr>
      <w:tr w:rsidR="00DC3E79" w14:paraId="5A541410" w14:textId="77777777" w:rsidTr="000A7A9E">
        <w:trPr>
          <w:trHeight w:val="730"/>
        </w:trPr>
        <w:tc>
          <w:tcPr>
            <w:tcW w:w="704" w:type="dxa"/>
          </w:tcPr>
          <w:p w14:paraId="50F0BC57" w14:textId="77777777" w:rsidR="00DC3E79" w:rsidRDefault="00DC3E79" w:rsidP="00D800E7"/>
        </w:tc>
        <w:tc>
          <w:tcPr>
            <w:tcW w:w="8312" w:type="dxa"/>
          </w:tcPr>
          <w:p w14:paraId="7CAD9171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Q1 Describe the value of using the health/frailty tools and how this benefits the person with a LD</w:t>
            </w:r>
          </w:p>
          <w:p w14:paraId="1B8DF4EA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</w:p>
          <w:p w14:paraId="22560F51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3E764579" w14:textId="2D0DD4D6" w:rsidR="000A7A9E" w:rsidRPr="00DC3E79" w:rsidRDefault="000A7A9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gives a suitable response detailing the benefits of using the tools to adults with learning disabilities and/or autism.</w:t>
            </w:r>
          </w:p>
        </w:tc>
      </w:tr>
      <w:tr w:rsidR="00DC3E79" w14:paraId="23F8F7CA" w14:textId="77777777" w:rsidTr="00520FBD">
        <w:trPr>
          <w:trHeight w:val="1150"/>
        </w:trPr>
        <w:tc>
          <w:tcPr>
            <w:tcW w:w="704" w:type="dxa"/>
          </w:tcPr>
          <w:p w14:paraId="1FDF3F41" w14:textId="77777777" w:rsidR="00DC3E79" w:rsidRDefault="00DC3E79" w:rsidP="00D800E7"/>
        </w:tc>
        <w:tc>
          <w:tcPr>
            <w:tcW w:w="8312" w:type="dxa"/>
          </w:tcPr>
          <w:p w14:paraId="528A7009" w14:textId="77777777" w:rsidR="00DC3E79" w:rsidRDefault="00DC3E79" w:rsidP="00D800E7"/>
        </w:tc>
      </w:tr>
      <w:tr w:rsidR="00DC3E79" w14:paraId="440C9CCE" w14:textId="77777777" w:rsidTr="00DC3E79">
        <w:tc>
          <w:tcPr>
            <w:tcW w:w="704" w:type="dxa"/>
          </w:tcPr>
          <w:p w14:paraId="00BE1D27" w14:textId="77777777" w:rsidR="00DC3E79" w:rsidRDefault="00DC3E79" w:rsidP="00D800E7"/>
        </w:tc>
        <w:tc>
          <w:tcPr>
            <w:tcW w:w="8312" w:type="dxa"/>
          </w:tcPr>
          <w:p w14:paraId="18B7EA4B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Q2 Give one example of where you have used health tools and achieved a positive outcome for the person.</w:t>
            </w:r>
          </w:p>
          <w:p w14:paraId="45EE6887" w14:textId="77777777" w:rsidR="000A7A9E" w:rsidRDefault="000A7A9E" w:rsidP="00D800E7"/>
          <w:p w14:paraId="3F642A77" w14:textId="77777777" w:rsidR="000A7A9E" w:rsidRPr="000A7A9E" w:rsidRDefault="000A7A9E" w:rsidP="00D800E7">
            <w:pPr>
              <w:rPr>
                <w:sz w:val="20"/>
                <w:szCs w:val="20"/>
              </w:rPr>
            </w:pPr>
            <w:r w:rsidRPr="000A7A9E">
              <w:rPr>
                <w:sz w:val="20"/>
                <w:szCs w:val="20"/>
              </w:rPr>
              <w:t>Evaluation Criteria</w:t>
            </w:r>
          </w:p>
          <w:p w14:paraId="18710D01" w14:textId="0DF92577" w:rsidR="000A7A9E" w:rsidRDefault="000A7A9E" w:rsidP="00D800E7">
            <w:r w:rsidRPr="000A7A9E">
              <w:rPr>
                <w:sz w:val="20"/>
                <w:szCs w:val="20"/>
              </w:rPr>
              <w:t>The provider gives a relevant example of how</w:t>
            </w:r>
            <w:r w:rsidR="00DF6CD5">
              <w:rPr>
                <w:sz w:val="20"/>
                <w:szCs w:val="20"/>
              </w:rPr>
              <w:t xml:space="preserve"> health</w:t>
            </w:r>
            <w:r w:rsidRPr="000A7A9E">
              <w:rPr>
                <w:sz w:val="20"/>
                <w:szCs w:val="20"/>
              </w:rPr>
              <w:t xml:space="preserve"> tools have been used to achieve a positive outcome for an adult with learning disabilities and/or autism.</w:t>
            </w:r>
          </w:p>
        </w:tc>
      </w:tr>
      <w:tr w:rsidR="00DC3E79" w14:paraId="562FD7D8" w14:textId="77777777" w:rsidTr="00520FBD">
        <w:trPr>
          <w:trHeight w:val="1076"/>
        </w:trPr>
        <w:tc>
          <w:tcPr>
            <w:tcW w:w="704" w:type="dxa"/>
          </w:tcPr>
          <w:p w14:paraId="6E38AAEB" w14:textId="77777777" w:rsidR="00DC3E79" w:rsidRDefault="00DC3E79" w:rsidP="00D800E7"/>
        </w:tc>
        <w:tc>
          <w:tcPr>
            <w:tcW w:w="8312" w:type="dxa"/>
          </w:tcPr>
          <w:p w14:paraId="0F01E160" w14:textId="77777777" w:rsidR="00DC3E79" w:rsidRDefault="00DC3E79" w:rsidP="00D800E7"/>
        </w:tc>
      </w:tr>
      <w:tr w:rsidR="00DC3E79" w14:paraId="3FFC65B6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134B7887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515B8B50" w14:textId="068610D4" w:rsidR="00DC3E79" w:rsidRPr="006724CB" w:rsidRDefault="00DC3E79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 xml:space="preserve">Standard 4  </w:t>
            </w:r>
          </w:p>
        </w:tc>
      </w:tr>
      <w:tr w:rsidR="00DC3E79" w14:paraId="1F58451F" w14:textId="77777777" w:rsidTr="00DC3E79">
        <w:tc>
          <w:tcPr>
            <w:tcW w:w="704" w:type="dxa"/>
          </w:tcPr>
          <w:p w14:paraId="12827BE6" w14:textId="77777777" w:rsidR="00DC3E79" w:rsidRDefault="00DC3E79" w:rsidP="00D800E7"/>
        </w:tc>
        <w:tc>
          <w:tcPr>
            <w:tcW w:w="8312" w:type="dxa"/>
          </w:tcPr>
          <w:p w14:paraId="700D0F8F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 xml:space="preserve">Q1 Give one example of where you have used well-being tools and achieved a positive outcome for the person. </w:t>
            </w:r>
          </w:p>
          <w:p w14:paraId="607BFB17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</w:p>
          <w:p w14:paraId="3D13F3ED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32D7E426" w14:textId="3DA116D6" w:rsidR="000A7A9E" w:rsidRPr="00DC3E79" w:rsidRDefault="000A7A9E" w:rsidP="00D800E7">
            <w:pPr>
              <w:rPr>
                <w:rFonts w:cstheme="minorHAnsi"/>
                <w:sz w:val="20"/>
                <w:szCs w:val="20"/>
              </w:rPr>
            </w:pPr>
            <w:r w:rsidRPr="000A7A9E">
              <w:rPr>
                <w:sz w:val="20"/>
                <w:szCs w:val="20"/>
              </w:rPr>
              <w:t>The provider gives a relevant example of how</w:t>
            </w:r>
            <w:r w:rsidR="00A06655">
              <w:rPr>
                <w:sz w:val="20"/>
                <w:szCs w:val="20"/>
              </w:rPr>
              <w:t xml:space="preserve"> wellbeing</w:t>
            </w:r>
            <w:r w:rsidRPr="000A7A9E">
              <w:rPr>
                <w:sz w:val="20"/>
                <w:szCs w:val="20"/>
              </w:rPr>
              <w:t xml:space="preserve"> tools have been used to achieve a positive outcome for an adult with learning disabilities and/or autism.</w:t>
            </w:r>
          </w:p>
        </w:tc>
      </w:tr>
      <w:tr w:rsidR="00DC3E79" w14:paraId="122727F5" w14:textId="77777777" w:rsidTr="00520FBD">
        <w:trPr>
          <w:trHeight w:val="1175"/>
        </w:trPr>
        <w:tc>
          <w:tcPr>
            <w:tcW w:w="704" w:type="dxa"/>
          </w:tcPr>
          <w:p w14:paraId="7F181A0A" w14:textId="77777777" w:rsidR="00DC3E79" w:rsidRDefault="00DC3E79" w:rsidP="00D800E7"/>
        </w:tc>
        <w:tc>
          <w:tcPr>
            <w:tcW w:w="8312" w:type="dxa"/>
          </w:tcPr>
          <w:p w14:paraId="5AABF6C7" w14:textId="77777777" w:rsidR="00DC3E79" w:rsidRDefault="00DC3E79" w:rsidP="00D800E7"/>
        </w:tc>
      </w:tr>
      <w:tr w:rsidR="00DC3E79" w14:paraId="6E7BCB8A" w14:textId="77777777" w:rsidTr="00DC3E79">
        <w:tc>
          <w:tcPr>
            <w:tcW w:w="704" w:type="dxa"/>
          </w:tcPr>
          <w:p w14:paraId="4385AEF8" w14:textId="77777777" w:rsidR="00DC3E79" w:rsidRDefault="00DC3E79" w:rsidP="00D800E7"/>
        </w:tc>
        <w:tc>
          <w:tcPr>
            <w:tcW w:w="8312" w:type="dxa"/>
          </w:tcPr>
          <w:p w14:paraId="0DA6ABBD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Q2 Describe one action from a Future Plan that has had a positive outcome for someone with LD</w:t>
            </w:r>
          </w:p>
          <w:p w14:paraId="66E1D970" w14:textId="77777777" w:rsidR="000A7A9E" w:rsidRDefault="000A7A9E" w:rsidP="00D800E7">
            <w:pPr>
              <w:rPr>
                <w:rFonts w:cstheme="minorHAnsi"/>
                <w:sz w:val="20"/>
                <w:szCs w:val="20"/>
              </w:rPr>
            </w:pPr>
          </w:p>
          <w:p w14:paraId="5E2E3AA3" w14:textId="46F001EE" w:rsidR="000A7A9E" w:rsidRDefault="000A7A9E" w:rsidP="00D80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Criteria</w:t>
            </w:r>
          </w:p>
          <w:p w14:paraId="7A962E51" w14:textId="0FDEB6FF" w:rsidR="000A7A9E" w:rsidRPr="00DC3E79" w:rsidRDefault="000A7A9E" w:rsidP="00D800E7">
            <w:pPr>
              <w:rPr>
                <w:rFonts w:cstheme="minorHAnsi"/>
                <w:sz w:val="20"/>
                <w:szCs w:val="20"/>
              </w:rPr>
            </w:pPr>
            <w:r w:rsidRPr="000A7A9E">
              <w:rPr>
                <w:sz w:val="20"/>
                <w:szCs w:val="20"/>
              </w:rPr>
              <w:lastRenderedPageBreak/>
              <w:t xml:space="preserve">The provider gives a relevant example of </w:t>
            </w:r>
            <w:r>
              <w:rPr>
                <w:sz w:val="20"/>
                <w:szCs w:val="20"/>
              </w:rPr>
              <w:t>an action from a Future Plan</w:t>
            </w:r>
            <w:r w:rsidRPr="000A7A9E">
              <w:rPr>
                <w:sz w:val="20"/>
                <w:szCs w:val="20"/>
              </w:rPr>
              <w:t xml:space="preserve"> </w:t>
            </w:r>
            <w:r w:rsidR="00E508BE">
              <w:rPr>
                <w:sz w:val="20"/>
                <w:szCs w:val="20"/>
              </w:rPr>
              <w:t>that has had a</w:t>
            </w:r>
            <w:r w:rsidRPr="000A7A9E">
              <w:rPr>
                <w:sz w:val="20"/>
                <w:szCs w:val="20"/>
              </w:rPr>
              <w:t xml:space="preserve"> positive outcome for an adult with learning disabilities and/or autism.</w:t>
            </w:r>
          </w:p>
        </w:tc>
      </w:tr>
      <w:tr w:rsidR="00DC3E79" w14:paraId="4518B037" w14:textId="77777777" w:rsidTr="00520FBD">
        <w:trPr>
          <w:trHeight w:val="1211"/>
        </w:trPr>
        <w:tc>
          <w:tcPr>
            <w:tcW w:w="704" w:type="dxa"/>
          </w:tcPr>
          <w:p w14:paraId="2E8FA763" w14:textId="77777777" w:rsidR="00DC3E79" w:rsidRDefault="00DC3E79" w:rsidP="00D800E7"/>
        </w:tc>
        <w:tc>
          <w:tcPr>
            <w:tcW w:w="8312" w:type="dxa"/>
          </w:tcPr>
          <w:p w14:paraId="581552DC" w14:textId="77777777" w:rsidR="00DC3E79" w:rsidRDefault="00DC3E79" w:rsidP="00D800E7"/>
        </w:tc>
      </w:tr>
      <w:tr w:rsidR="00DC3E79" w14:paraId="7E1EB5FD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737325C3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237C99A3" w14:textId="66EE2A90" w:rsidR="00DC3E79" w:rsidRPr="006724CB" w:rsidRDefault="00520FBD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 xml:space="preserve">Section 2: </w:t>
            </w:r>
            <w:r w:rsidR="00DC3E79" w:rsidRPr="006724CB">
              <w:rPr>
                <w:b/>
                <w:bCs/>
              </w:rPr>
              <w:t>Skills and Knowledge</w:t>
            </w:r>
          </w:p>
        </w:tc>
      </w:tr>
      <w:tr w:rsidR="00DC3E79" w14:paraId="2668CF91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094F5F18" w14:textId="12EC8322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44FFDA5C" w14:textId="238195E6" w:rsidR="00DC3E79" w:rsidRPr="006724CB" w:rsidRDefault="00DC3E79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>Standard 1</w:t>
            </w:r>
          </w:p>
        </w:tc>
      </w:tr>
      <w:tr w:rsidR="00DC3E79" w14:paraId="32FE3BCA" w14:textId="77777777" w:rsidTr="00DC3E79">
        <w:tc>
          <w:tcPr>
            <w:tcW w:w="704" w:type="dxa"/>
          </w:tcPr>
          <w:p w14:paraId="64D310AF" w14:textId="77777777" w:rsidR="00DC3E79" w:rsidRDefault="00DC3E79" w:rsidP="00D800E7"/>
        </w:tc>
        <w:tc>
          <w:tcPr>
            <w:tcW w:w="8312" w:type="dxa"/>
          </w:tcPr>
          <w:p w14:paraId="37A990A8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 xml:space="preserve">Q1 – Where would you go to get LD specialist input for the adults that you support?   </w:t>
            </w:r>
          </w:p>
          <w:p w14:paraId="6E9F8E57" w14:textId="77777777" w:rsidR="00E508BE" w:rsidRDefault="00E508BE" w:rsidP="00D800E7">
            <w:pPr>
              <w:rPr>
                <w:rFonts w:cstheme="minorHAnsi"/>
                <w:sz w:val="20"/>
                <w:szCs w:val="20"/>
              </w:rPr>
            </w:pPr>
          </w:p>
          <w:p w14:paraId="7D67F780" w14:textId="77777777" w:rsidR="00E508BE" w:rsidRDefault="00E508B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1033EC55" w14:textId="6927A6DE" w:rsidR="00E508BE" w:rsidRPr="00DC3E79" w:rsidRDefault="00E508BE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correctly lists at least one source of specialist input for adults with learning disabilities and/or autism.</w:t>
            </w:r>
          </w:p>
        </w:tc>
      </w:tr>
      <w:tr w:rsidR="00DC3E79" w14:paraId="3E61AFFA" w14:textId="77777777" w:rsidTr="00520FBD">
        <w:trPr>
          <w:trHeight w:val="1142"/>
        </w:trPr>
        <w:tc>
          <w:tcPr>
            <w:tcW w:w="704" w:type="dxa"/>
          </w:tcPr>
          <w:p w14:paraId="6234BB25" w14:textId="77777777" w:rsidR="00DC3E79" w:rsidRDefault="00DC3E79" w:rsidP="00D800E7"/>
        </w:tc>
        <w:tc>
          <w:tcPr>
            <w:tcW w:w="8312" w:type="dxa"/>
          </w:tcPr>
          <w:p w14:paraId="1BFC7002" w14:textId="77777777" w:rsidR="00DC3E79" w:rsidRDefault="00DC3E79" w:rsidP="00D800E7"/>
        </w:tc>
      </w:tr>
      <w:tr w:rsidR="00DC3E79" w14:paraId="79577C6D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00B55C03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48978F0B" w14:textId="7808ACDF" w:rsidR="00DC3E79" w:rsidRPr="006724CB" w:rsidRDefault="00DC3E79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>Standard 2</w:t>
            </w:r>
          </w:p>
        </w:tc>
      </w:tr>
      <w:tr w:rsidR="00DC3E79" w14:paraId="7BA8E8CD" w14:textId="77777777" w:rsidTr="00DC3E79">
        <w:tc>
          <w:tcPr>
            <w:tcW w:w="704" w:type="dxa"/>
          </w:tcPr>
          <w:p w14:paraId="433BECE0" w14:textId="77777777" w:rsidR="00DC3E79" w:rsidRDefault="00DC3E79" w:rsidP="00D800E7"/>
        </w:tc>
        <w:tc>
          <w:tcPr>
            <w:tcW w:w="8312" w:type="dxa"/>
          </w:tcPr>
          <w:p w14:paraId="07DD9138" w14:textId="77777777" w:rsidR="00DC3E79" w:rsidRDefault="00DC3E79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Describe what Technology enabled support you have/would look to have in place and how this supports with helping people to stay independent.</w:t>
            </w:r>
          </w:p>
          <w:p w14:paraId="00DC59A4" w14:textId="77777777" w:rsidR="00E508BE" w:rsidRDefault="00E508BE" w:rsidP="00D800E7"/>
          <w:p w14:paraId="654FC09E" w14:textId="77777777" w:rsidR="00E508BE" w:rsidRDefault="00E508BE" w:rsidP="00D800E7">
            <w:pPr>
              <w:rPr>
                <w:sz w:val="20"/>
                <w:szCs w:val="20"/>
              </w:rPr>
            </w:pPr>
            <w:r w:rsidRPr="00E508BE">
              <w:rPr>
                <w:sz w:val="20"/>
                <w:szCs w:val="20"/>
              </w:rPr>
              <w:t>Evaluation Criteria</w:t>
            </w:r>
          </w:p>
          <w:p w14:paraId="6CFB318D" w14:textId="0776C0C1" w:rsidR="00E508BE" w:rsidRDefault="00E508BE" w:rsidP="00D800E7">
            <w:r w:rsidRPr="00E508BE">
              <w:rPr>
                <w:sz w:val="20"/>
                <w:szCs w:val="20"/>
              </w:rPr>
              <w:t xml:space="preserve">The provider lists </w:t>
            </w:r>
            <w:r>
              <w:rPr>
                <w:sz w:val="20"/>
                <w:szCs w:val="20"/>
              </w:rPr>
              <w:t>suitable and appropriate technology enabled support that would be in place to support adults with learning disabilities and/or autism displaying signs of ageing</w:t>
            </w:r>
            <w:r w:rsidR="007D5F75">
              <w:rPr>
                <w:sz w:val="20"/>
                <w:szCs w:val="20"/>
              </w:rPr>
              <w:t xml:space="preserve"> and explains how this enhances their independence.</w:t>
            </w:r>
          </w:p>
        </w:tc>
      </w:tr>
      <w:tr w:rsidR="00DC3E79" w14:paraId="70457222" w14:textId="77777777" w:rsidTr="006724CB">
        <w:trPr>
          <w:trHeight w:val="1248"/>
        </w:trPr>
        <w:tc>
          <w:tcPr>
            <w:tcW w:w="704" w:type="dxa"/>
          </w:tcPr>
          <w:p w14:paraId="633D6C64" w14:textId="77777777" w:rsidR="00DC3E79" w:rsidRDefault="00DC3E79" w:rsidP="00D800E7"/>
        </w:tc>
        <w:tc>
          <w:tcPr>
            <w:tcW w:w="8312" w:type="dxa"/>
          </w:tcPr>
          <w:p w14:paraId="467421E7" w14:textId="77777777" w:rsidR="00DC3E79" w:rsidRDefault="00DC3E79" w:rsidP="00D800E7"/>
        </w:tc>
      </w:tr>
    </w:tbl>
    <w:p w14:paraId="40D210FA" w14:textId="275A063A" w:rsidR="00DC3E79" w:rsidRDefault="00DC3E79" w:rsidP="00D800E7">
      <w:pPr>
        <w:spacing w:after="0" w:line="240" w:lineRule="auto"/>
      </w:pPr>
    </w:p>
    <w:p w14:paraId="43AD9D90" w14:textId="7784BE4D" w:rsidR="00DC3E79" w:rsidRPr="00520FBD" w:rsidRDefault="00DC3E79" w:rsidP="00D800E7">
      <w:pPr>
        <w:spacing w:after="0" w:line="240" w:lineRule="auto"/>
        <w:rPr>
          <w:b/>
          <w:bCs/>
        </w:rPr>
      </w:pPr>
      <w:r w:rsidRPr="00520FBD">
        <w:rPr>
          <w:b/>
          <w:bCs/>
        </w:rPr>
        <w:t>Older Persons’ Additional Questions</w:t>
      </w:r>
    </w:p>
    <w:p w14:paraId="3A859665" w14:textId="31E77570" w:rsidR="00DC3E79" w:rsidRDefault="00DC3E79" w:rsidP="00D8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DC3E79" w14:paraId="5BB9E692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39395A05" w14:textId="77777777" w:rsidR="00DC3E79" w:rsidRPr="006724CB" w:rsidRDefault="00DC3E79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683F33FA" w14:textId="64376089" w:rsidR="00DC3E79" w:rsidRPr="006724CB" w:rsidRDefault="00817440" w:rsidP="00D800E7">
            <w:pPr>
              <w:rPr>
                <w:b/>
                <w:bCs/>
              </w:rPr>
            </w:pPr>
            <w:r w:rsidRPr="006724CB">
              <w:rPr>
                <w:b/>
                <w:bCs/>
              </w:rPr>
              <w:t>Standard 1</w:t>
            </w:r>
          </w:p>
        </w:tc>
      </w:tr>
      <w:tr w:rsidR="00DC3E79" w14:paraId="0DE7D241" w14:textId="77777777" w:rsidTr="00DC3E79">
        <w:tc>
          <w:tcPr>
            <w:tcW w:w="704" w:type="dxa"/>
          </w:tcPr>
          <w:p w14:paraId="05CF4656" w14:textId="77777777" w:rsidR="00DC3E79" w:rsidRDefault="00DC3E79" w:rsidP="00D800E7"/>
        </w:tc>
        <w:tc>
          <w:tcPr>
            <w:tcW w:w="8312" w:type="dxa"/>
          </w:tcPr>
          <w:p w14:paraId="2EAAFB90" w14:textId="77777777" w:rsidR="00DC3E79" w:rsidRDefault="00817440" w:rsidP="00E508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  <w:r w:rsidRPr="003625A0"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What is a Learning Disability</w:t>
            </w:r>
            <w:r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?</w:t>
            </w:r>
          </w:p>
          <w:p w14:paraId="36518008" w14:textId="77777777" w:rsidR="00E508BE" w:rsidRDefault="00E508BE" w:rsidP="00E508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</w:p>
          <w:p w14:paraId="00686882" w14:textId="77777777" w:rsidR="00E508BE" w:rsidRDefault="00E508BE" w:rsidP="00E508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Evaluation Criteria</w:t>
            </w:r>
          </w:p>
          <w:p w14:paraId="7BC9F5CE" w14:textId="096F0721" w:rsidR="00E508BE" w:rsidRPr="00817440" w:rsidRDefault="00E508BE" w:rsidP="00E508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The provider provides a suitable definition of a learning disability and examples of the impact of learning disabilities on people.</w:t>
            </w:r>
          </w:p>
        </w:tc>
      </w:tr>
      <w:tr w:rsidR="00DC3E79" w14:paraId="72673060" w14:textId="77777777" w:rsidTr="00520FBD">
        <w:trPr>
          <w:trHeight w:val="1218"/>
        </w:trPr>
        <w:tc>
          <w:tcPr>
            <w:tcW w:w="704" w:type="dxa"/>
          </w:tcPr>
          <w:p w14:paraId="1179C92E" w14:textId="77777777" w:rsidR="00DC3E79" w:rsidRDefault="00DC3E79" w:rsidP="00D800E7"/>
        </w:tc>
        <w:tc>
          <w:tcPr>
            <w:tcW w:w="8312" w:type="dxa"/>
          </w:tcPr>
          <w:p w14:paraId="08279AB8" w14:textId="77777777" w:rsidR="00DC3E79" w:rsidRDefault="00DC3E79" w:rsidP="00D800E7"/>
        </w:tc>
      </w:tr>
      <w:tr w:rsidR="00817440" w14:paraId="55C52D33" w14:textId="77777777" w:rsidTr="00DC3E79">
        <w:tc>
          <w:tcPr>
            <w:tcW w:w="704" w:type="dxa"/>
          </w:tcPr>
          <w:p w14:paraId="48D844F0" w14:textId="77777777" w:rsidR="00817440" w:rsidRDefault="00817440" w:rsidP="00D800E7"/>
        </w:tc>
        <w:tc>
          <w:tcPr>
            <w:tcW w:w="8312" w:type="dxa"/>
          </w:tcPr>
          <w:p w14:paraId="7B25152E" w14:textId="77777777" w:rsidR="00817440" w:rsidRDefault="00817440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What health inequalities do you think that people with people LD might experience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1DB5983A" w14:textId="77777777" w:rsidR="00E508BE" w:rsidRDefault="00E508BE" w:rsidP="00D800E7">
            <w:pPr>
              <w:rPr>
                <w:rFonts w:cstheme="minorHAnsi"/>
                <w:sz w:val="20"/>
                <w:szCs w:val="20"/>
              </w:rPr>
            </w:pPr>
          </w:p>
          <w:p w14:paraId="5A9DAE4E" w14:textId="77777777" w:rsidR="00E508BE" w:rsidRDefault="00E508BE" w:rsidP="00E508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Evaluation Criteria</w:t>
            </w:r>
          </w:p>
          <w:p w14:paraId="2BD998BC" w14:textId="1F1A12B4" w:rsidR="00E508BE" w:rsidRPr="003625A0" w:rsidRDefault="00E508BE" w:rsidP="00E50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1"/>
                <w:sz w:val="20"/>
                <w:szCs w:val="20"/>
                <w:shd w:val="clear" w:color="auto" w:fill="FFFFFF"/>
              </w:rPr>
              <w:t>The provider correctly states at least one health inequality that an adult with a learning disability may experience.</w:t>
            </w:r>
          </w:p>
        </w:tc>
      </w:tr>
      <w:tr w:rsidR="00817440" w14:paraId="5320DE4B" w14:textId="77777777" w:rsidTr="00520FBD">
        <w:trPr>
          <w:trHeight w:val="1125"/>
        </w:trPr>
        <w:tc>
          <w:tcPr>
            <w:tcW w:w="704" w:type="dxa"/>
          </w:tcPr>
          <w:p w14:paraId="0D0CFC76" w14:textId="77777777" w:rsidR="00817440" w:rsidRDefault="00817440" w:rsidP="00D800E7"/>
        </w:tc>
        <w:tc>
          <w:tcPr>
            <w:tcW w:w="8312" w:type="dxa"/>
          </w:tcPr>
          <w:p w14:paraId="463DFD07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3EB4133A" w14:textId="77777777" w:rsidTr="00DC3E79">
        <w:tc>
          <w:tcPr>
            <w:tcW w:w="704" w:type="dxa"/>
          </w:tcPr>
          <w:p w14:paraId="0879CC1D" w14:textId="77777777" w:rsidR="00817440" w:rsidRDefault="00817440" w:rsidP="00D800E7"/>
        </w:tc>
        <w:tc>
          <w:tcPr>
            <w:tcW w:w="8312" w:type="dxa"/>
          </w:tcPr>
          <w:p w14:paraId="06A77B1F" w14:textId="77777777" w:rsidR="00817440" w:rsidRDefault="00817440" w:rsidP="00D800E7">
            <w:pPr>
              <w:rPr>
                <w:rFonts w:cstheme="minorHAnsi"/>
                <w:sz w:val="20"/>
                <w:szCs w:val="20"/>
              </w:rPr>
            </w:pPr>
            <w:r w:rsidRPr="00BB1CB9">
              <w:rPr>
                <w:rFonts w:cstheme="minorHAnsi"/>
                <w:sz w:val="20"/>
                <w:szCs w:val="20"/>
              </w:rPr>
              <w:t>What considerations do you think that you would need to make when supporting someone with LD moving into your residential home/service?</w:t>
            </w:r>
          </w:p>
          <w:p w14:paraId="2A5B723C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</w:p>
          <w:p w14:paraId="113A3AAC" w14:textId="77777777" w:rsidR="00D00476" w:rsidRDefault="00D00476" w:rsidP="00D004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1"/>
                <w:sz w:val="20"/>
                <w:szCs w:val="20"/>
                <w:shd w:val="clear" w:color="auto" w:fill="FFFFFF"/>
              </w:rPr>
              <w:t>Evaluation Criteria</w:t>
            </w:r>
          </w:p>
          <w:p w14:paraId="43982444" w14:textId="21C509EA" w:rsidR="00D00476" w:rsidRPr="003625A0" w:rsidRDefault="00D00476" w:rsidP="00D004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1"/>
                <w:sz w:val="20"/>
                <w:szCs w:val="20"/>
                <w:shd w:val="clear" w:color="auto" w:fill="FFFFFF"/>
              </w:rPr>
              <w:t>The provider correctly states at least one consideration that would have to be made for an adult with a learning disability before they move into a residential home or service.</w:t>
            </w:r>
          </w:p>
        </w:tc>
      </w:tr>
      <w:tr w:rsidR="00817440" w14:paraId="09B2E451" w14:textId="77777777" w:rsidTr="00520FBD">
        <w:trPr>
          <w:trHeight w:val="1065"/>
        </w:trPr>
        <w:tc>
          <w:tcPr>
            <w:tcW w:w="704" w:type="dxa"/>
          </w:tcPr>
          <w:p w14:paraId="061C1DB3" w14:textId="77777777" w:rsidR="00817440" w:rsidRDefault="00817440" w:rsidP="00D800E7"/>
        </w:tc>
        <w:tc>
          <w:tcPr>
            <w:tcW w:w="8312" w:type="dxa"/>
          </w:tcPr>
          <w:p w14:paraId="7FAC2275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7B40F76B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4E687377" w14:textId="77777777" w:rsidR="00817440" w:rsidRPr="006724CB" w:rsidRDefault="00817440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182269C9" w14:textId="18F84587" w:rsidR="00817440" w:rsidRPr="006724CB" w:rsidRDefault="00817440" w:rsidP="00D800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24CB">
              <w:rPr>
                <w:rFonts w:cstheme="minorHAnsi"/>
                <w:b/>
                <w:bCs/>
                <w:sz w:val="20"/>
                <w:szCs w:val="20"/>
              </w:rPr>
              <w:t>Standard 3</w:t>
            </w:r>
          </w:p>
        </w:tc>
      </w:tr>
      <w:tr w:rsidR="00817440" w14:paraId="607A66F3" w14:textId="77777777" w:rsidTr="00DC3E79">
        <w:tc>
          <w:tcPr>
            <w:tcW w:w="704" w:type="dxa"/>
          </w:tcPr>
          <w:p w14:paraId="6E30D8BF" w14:textId="77777777" w:rsidR="00817440" w:rsidRDefault="00817440" w:rsidP="00D800E7"/>
        </w:tc>
        <w:tc>
          <w:tcPr>
            <w:tcW w:w="8312" w:type="dxa"/>
          </w:tcPr>
          <w:p w14:paraId="16526887" w14:textId="77777777" w:rsidR="00817440" w:rsidRDefault="00817440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What are some of the characteristics of Downs Syndrome?</w:t>
            </w:r>
          </w:p>
          <w:p w14:paraId="50F4E652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</w:p>
          <w:p w14:paraId="5A1859A3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62F808E7" w14:textId="3821A40C" w:rsidR="00D00476" w:rsidRPr="003625A0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provider provides at least three characteristics of Downs Syndrome. </w:t>
            </w:r>
          </w:p>
        </w:tc>
      </w:tr>
      <w:tr w:rsidR="00817440" w14:paraId="0B2E2AA1" w14:textId="77777777" w:rsidTr="00520FBD">
        <w:trPr>
          <w:trHeight w:val="1229"/>
        </w:trPr>
        <w:tc>
          <w:tcPr>
            <w:tcW w:w="704" w:type="dxa"/>
          </w:tcPr>
          <w:p w14:paraId="14E4BDDC" w14:textId="77777777" w:rsidR="00817440" w:rsidRDefault="00817440" w:rsidP="00D800E7"/>
        </w:tc>
        <w:tc>
          <w:tcPr>
            <w:tcW w:w="8312" w:type="dxa"/>
          </w:tcPr>
          <w:p w14:paraId="26544D82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542B17FF" w14:textId="77777777" w:rsidTr="00DC3E79">
        <w:tc>
          <w:tcPr>
            <w:tcW w:w="704" w:type="dxa"/>
          </w:tcPr>
          <w:p w14:paraId="4714DA06" w14:textId="77777777" w:rsidR="00817440" w:rsidRDefault="00817440" w:rsidP="00D800E7"/>
        </w:tc>
        <w:tc>
          <w:tcPr>
            <w:tcW w:w="8312" w:type="dxa"/>
          </w:tcPr>
          <w:p w14:paraId="073E2A07" w14:textId="77777777" w:rsidR="00817440" w:rsidRDefault="00817440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What is Autism</w:t>
            </w:r>
            <w:r w:rsidR="00D00476">
              <w:rPr>
                <w:rFonts w:cstheme="minorHAnsi"/>
                <w:sz w:val="20"/>
                <w:szCs w:val="20"/>
              </w:rPr>
              <w:t xml:space="preserve"> and what are the common characteristics of being Autistic?</w:t>
            </w:r>
          </w:p>
          <w:p w14:paraId="62100600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</w:p>
          <w:p w14:paraId="5EAD4EEF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05FCF40C" w14:textId="075E5CD3" w:rsidR="00D00476" w:rsidRPr="003625A0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gives a suitable definition of autism</w:t>
            </w:r>
            <w:r w:rsidR="005469F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and lists at least three characteristics of an adult with autism.</w:t>
            </w:r>
          </w:p>
        </w:tc>
      </w:tr>
      <w:tr w:rsidR="00817440" w14:paraId="79F3FEE7" w14:textId="77777777" w:rsidTr="00520FBD">
        <w:trPr>
          <w:trHeight w:val="1138"/>
        </w:trPr>
        <w:tc>
          <w:tcPr>
            <w:tcW w:w="704" w:type="dxa"/>
          </w:tcPr>
          <w:p w14:paraId="374C9EBE" w14:textId="77777777" w:rsidR="00817440" w:rsidRDefault="00817440" w:rsidP="00D800E7"/>
        </w:tc>
        <w:tc>
          <w:tcPr>
            <w:tcW w:w="8312" w:type="dxa"/>
          </w:tcPr>
          <w:p w14:paraId="1172BE1C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3C599C9C" w14:textId="77777777" w:rsidTr="00DC3E79">
        <w:tc>
          <w:tcPr>
            <w:tcW w:w="704" w:type="dxa"/>
          </w:tcPr>
          <w:p w14:paraId="77E16E38" w14:textId="77777777" w:rsidR="00817440" w:rsidRDefault="00817440" w:rsidP="00D800E7"/>
        </w:tc>
        <w:tc>
          <w:tcPr>
            <w:tcW w:w="8312" w:type="dxa"/>
          </w:tcPr>
          <w:p w14:paraId="48324FC0" w14:textId="77777777" w:rsidR="00817440" w:rsidRDefault="00817440" w:rsidP="00D800E7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 w:rsidRPr="003625A0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 xml:space="preserve">Where would you go to find out more about a specific learning disability syndrome? </w:t>
            </w:r>
          </w:p>
          <w:p w14:paraId="6EA33A83" w14:textId="77777777" w:rsidR="00D00476" w:rsidRDefault="00D00476" w:rsidP="00D800E7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</w:p>
          <w:p w14:paraId="55D87178" w14:textId="77777777" w:rsidR="00D00476" w:rsidRDefault="00D00476" w:rsidP="00D800E7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Evaluation Criteria</w:t>
            </w:r>
          </w:p>
          <w:p w14:paraId="1E4E492A" w14:textId="759F6BC8" w:rsidR="00D00476" w:rsidRPr="00817440" w:rsidRDefault="00D00476" w:rsidP="00D800E7">
            <w:pP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 xml:space="preserve">The provider gives at least two </w:t>
            </w:r>
            <w:r w:rsidR="002F2725"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 xml:space="preserve">relevant </w:t>
            </w:r>
            <w:r>
              <w:rPr>
                <w:rFonts w:cstheme="minorHAnsi"/>
                <w:color w:val="363636"/>
                <w:sz w:val="20"/>
                <w:szCs w:val="20"/>
                <w:shd w:val="clear" w:color="auto" w:fill="FFFFFF"/>
              </w:rPr>
              <w:t>sources of information to learn further about specific learning disability syndromes.</w:t>
            </w:r>
          </w:p>
        </w:tc>
      </w:tr>
      <w:tr w:rsidR="00817440" w14:paraId="235FBEFE" w14:textId="77777777" w:rsidTr="00520FBD">
        <w:trPr>
          <w:trHeight w:val="1187"/>
        </w:trPr>
        <w:tc>
          <w:tcPr>
            <w:tcW w:w="704" w:type="dxa"/>
          </w:tcPr>
          <w:p w14:paraId="1DC3B198" w14:textId="77777777" w:rsidR="00817440" w:rsidRDefault="00817440" w:rsidP="00D800E7"/>
        </w:tc>
        <w:tc>
          <w:tcPr>
            <w:tcW w:w="8312" w:type="dxa"/>
          </w:tcPr>
          <w:p w14:paraId="7780CDB0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5A27C869" w14:textId="77777777" w:rsidTr="006724CB">
        <w:tc>
          <w:tcPr>
            <w:tcW w:w="704" w:type="dxa"/>
            <w:shd w:val="clear" w:color="auto" w:fill="D9D9D9" w:themeFill="background1" w:themeFillShade="D9"/>
          </w:tcPr>
          <w:p w14:paraId="4586C678" w14:textId="77777777" w:rsidR="00817440" w:rsidRPr="006724CB" w:rsidRDefault="00817440" w:rsidP="00D800E7">
            <w:pPr>
              <w:rPr>
                <w:b/>
                <w:bCs/>
              </w:rPr>
            </w:pPr>
          </w:p>
        </w:tc>
        <w:tc>
          <w:tcPr>
            <w:tcW w:w="8312" w:type="dxa"/>
            <w:shd w:val="clear" w:color="auto" w:fill="D9D9D9" w:themeFill="background1" w:themeFillShade="D9"/>
          </w:tcPr>
          <w:p w14:paraId="5E78C4EE" w14:textId="6D2449E6" w:rsidR="00817440" w:rsidRPr="006724CB" w:rsidRDefault="00817440" w:rsidP="00D800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24CB">
              <w:rPr>
                <w:rFonts w:cstheme="minorHAnsi"/>
                <w:b/>
                <w:bCs/>
                <w:sz w:val="20"/>
                <w:szCs w:val="20"/>
              </w:rPr>
              <w:t>Standard 4</w:t>
            </w:r>
          </w:p>
        </w:tc>
      </w:tr>
      <w:tr w:rsidR="00817440" w14:paraId="1EB2512D" w14:textId="77777777" w:rsidTr="00DC3E79">
        <w:tc>
          <w:tcPr>
            <w:tcW w:w="704" w:type="dxa"/>
          </w:tcPr>
          <w:p w14:paraId="697E58B2" w14:textId="77777777" w:rsidR="00817440" w:rsidRDefault="00817440" w:rsidP="00D800E7"/>
        </w:tc>
        <w:tc>
          <w:tcPr>
            <w:tcW w:w="8312" w:type="dxa"/>
          </w:tcPr>
          <w:p w14:paraId="1C98739B" w14:textId="77777777" w:rsidR="00817440" w:rsidRDefault="00817440" w:rsidP="00D800E7">
            <w:pPr>
              <w:rPr>
                <w:rFonts w:cstheme="minorHAnsi"/>
                <w:sz w:val="20"/>
                <w:szCs w:val="20"/>
              </w:rPr>
            </w:pPr>
            <w:r w:rsidRPr="003625A0">
              <w:rPr>
                <w:rFonts w:cstheme="minorHAnsi"/>
                <w:sz w:val="20"/>
                <w:szCs w:val="20"/>
              </w:rPr>
              <w:t>Give 3 examples of different forms of communication other than verbal</w:t>
            </w:r>
          </w:p>
          <w:p w14:paraId="1B63C4A8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</w:p>
          <w:p w14:paraId="5ED04094" w14:textId="77777777" w:rsidR="00D00476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Criteria</w:t>
            </w:r>
          </w:p>
          <w:p w14:paraId="2F1DA0E6" w14:textId="737BA393" w:rsidR="00D00476" w:rsidRPr="003625A0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provider gives at least three examples of non-verbal communication methods that could be used with adults with learning disabilities and/or autism.</w:t>
            </w:r>
          </w:p>
        </w:tc>
      </w:tr>
      <w:tr w:rsidR="00817440" w14:paraId="6FB6B9BD" w14:textId="77777777" w:rsidTr="006724CB">
        <w:trPr>
          <w:trHeight w:val="1229"/>
        </w:trPr>
        <w:tc>
          <w:tcPr>
            <w:tcW w:w="704" w:type="dxa"/>
          </w:tcPr>
          <w:p w14:paraId="0050A363" w14:textId="77777777" w:rsidR="00817440" w:rsidRDefault="00817440" w:rsidP="00D800E7"/>
        </w:tc>
        <w:tc>
          <w:tcPr>
            <w:tcW w:w="8312" w:type="dxa"/>
          </w:tcPr>
          <w:p w14:paraId="3098C47D" w14:textId="77777777" w:rsidR="00817440" w:rsidRPr="003625A0" w:rsidRDefault="00817440" w:rsidP="00D8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440" w14:paraId="53526249" w14:textId="77777777" w:rsidTr="00DC3E79">
        <w:tc>
          <w:tcPr>
            <w:tcW w:w="704" w:type="dxa"/>
          </w:tcPr>
          <w:p w14:paraId="75A67D13" w14:textId="77777777" w:rsidR="00817440" w:rsidRDefault="00817440" w:rsidP="00D800E7"/>
        </w:tc>
        <w:tc>
          <w:tcPr>
            <w:tcW w:w="8312" w:type="dxa"/>
          </w:tcPr>
          <w:p w14:paraId="3715B74D" w14:textId="77777777" w:rsidR="00817440" w:rsidRDefault="00817440" w:rsidP="00D800E7">
            <w:pP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</w:pPr>
            <w:r w:rsidRPr="00E507B9"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  <w:t>What are the benefits of communication passports?</w:t>
            </w:r>
          </w:p>
          <w:p w14:paraId="637FBC1F" w14:textId="77777777" w:rsidR="00D00476" w:rsidRDefault="00D00476" w:rsidP="00D800E7">
            <w:pP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</w:pPr>
          </w:p>
          <w:p w14:paraId="4A6A873C" w14:textId="77777777" w:rsidR="00D00476" w:rsidRDefault="00D00476" w:rsidP="00D800E7">
            <w:pP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  <w:t>Evaluation Criteria</w:t>
            </w:r>
          </w:p>
          <w:p w14:paraId="0F19294F" w14:textId="264E1EAB" w:rsidR="00D00476" w:rsidRPr="003625A0" w:rsidRDefault="00D00476" w:rsidP="00D8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  <w:t>The provider gives relevant benefit</w:t>
            </w:r>
            <w:r w:rsidR="00DA33F5"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  <w:t>s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  <w:t xml:space="preserve"> of a communication passport for an adult with learning disabilities and/or autism.</w:t>
            </w:r>
          </w:p>
        </w:tc>
      </w:tr>
      <w:tr w:rsidR="00817440" w14:paraId="4BD79CE8" w14:textId="77777777" w:rsidTr="006724CB">
        <w:trPr>
          <w:trHeight w:val="1408"/>
        </w:trPr>
        <w:tc>
          <w:tcPr>
            <w:tcW w:w="704" w:type="dxa"/>
          </w:tcPr>
          <w:p w14:paraId="36FB64F9" w14:textId="77777777" w:rsidR="00817440" w:rsidRDefault="00817440" w:rsidP="00D800E7"/>
        </w:tc>
        <w:tc>
          <w:tcPr>
            <w:tcW w:w="8312" w:type="dxa"/>
          </w:tcPr>
          <w:p w14:paraId="655D6AD0" w14:textId="77777777" w:rsidR="00817440" w:rsidRPr="00E507B9" w:rsidRDefault="00817440" w:rsidP="00D800E7">
            <w:pPr>
              <w:rPr>
                <w:rFonts w:eastAsia="Times New Roman" w:cstheme="minorHAnsi"/>
                <w:color w:val="202124"/>
                <w:sz w:val="20"/>
                <w:szCs w:val="20"/>
                <w:lang w:eastAsia="en-GB"/>
              </w:rPr>
            </w:pPr>
          </w:p>
        </w:tc>
      </w:tr>
    </w:tbl>
    <w:p w14:paraId="17910DE0" w14:textId="77777777" w:rsidR="00DC3E79" w:rsidRDefault="00DC3E79" w:rsidP="00D800E7">
      <w:pPr>
        <w:spacing w:after="0" w:line="240" w:lineRule="auto"/>
      </w:pPr>
    </w:p>
    <w:sectPr w:rsidR="00DC3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21BE" w14:textId="77777777" w:rsidR="00EA63C9" w:rsidRDefault="00EA63C9" w:rsidP="00817440">
      <w:pPr>
        <w:spacing w:after="0" w:line="240" w:lineRule="auto"/>
      </w:pPr>
      <w:r>
        <w:separator/>
      </w:r>
    </w:p>
  </w:endnote>
  <w:endnote w:type="continuationSeparator" w:id="0">
    <w:p w14:paraId="4A8F49D0" w14:textId="77777777" w:rsidR="00EA63C9" w:rsidRDefault="00EA63C9" w:rsidP="008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9A27" w14:textId="77777777" w:rsidR="00EA63C9" w:rsidRDefault="00EA63C9" w:rsidP="00817440">
      <w:pPr>
        <w:spacing w:after="0" w:line="240" w:lineRule="auto"/>
      </w:pPr>
      <w:r>
        <w:separator/>
      </w:r>
    </w:p>
  </w:footnote>
  <w:footnote w:type="continuationSeparator" w:id="0">
    <w:p w14:paraId="7CF6711A" w14:textId="77777777" w:rsidR="00EA63C9" w:rsidRDefault="00EA63C9" w:rsidP="00817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7"/>
    <w:rsid w:val="000A7A9E"/>
    <w:rsid w:val="00180D71"/>
    <w:rsid w:val="002272DE"/>
    <w:rsid w:val="00234DBD"/>
    <w:rsid w:val="0026130D"/>
    <w:rsid w:val="002F2725"/>
    <w:rsid w:val="00366D09"/>
    <w:rsid w:val="003E0726"/>
    <w:rsid w:val="00520FBD"/>
    <w:rsid w:val="005469FF"/>
    <w:rsid w:val="0061240F"/>
    <w:rsid w:val="00620BD5"/>
    <w:rsid w:val="006724CB"/>
    <w:rsid w:val="007932F5"/>
    <w:rsid w:val="007D5F75"/>
    <w:rsid w:val="00817440"/>
    <w:rsid w:val="008301DA"/>
    <w:rsid w:val="00847556"/>
    <w:rsid w:val="009A1715"/>
    <w:rsid w:val="009D3E44"/>
    <w:rsid w:val="00A06655"/>
    <w:rsid w:val="00A74DA5"/>
    <w:rsid w:val="00AC0896"/>
    <w:rsid w:val="00AC33C5"/>
    <w:rsid w:val="00B44E8E"/>
    <w:rsid w:val="00C34209"/>
    <w:rsid w:val="00CA587D"/>
    <w:rsid w:val="00D00476"/>
    <w:rsid w:val="00D63613"/>
    <w:rsid w:val="00D800E7"/>
    <w:rsid w:val="00D9740B"/>
    <w:rsid w:val="00DA33F5"/>
    <w:rsid w:val="00DC3E79"/>
    <w:rsid w:val="00DF6CD5"/>
    <w:rsid w:val="00E214A7"/>
    <w:rsid w:val="00E508BE"/>
    <w:rsid w:val="00EA63C9"/>
    <w:rsid w:val="00FE3F7F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980AAC"/>
  <w15:chartTrackingRefBased/>
  <w15:docId w15:val="{23041819-DECD-43F0-87C3-E29F2796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6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xcountycouncil-my.sharepoint.com/personal/sue_vallance_essex_gov_uk/Documents/Desktop/COMMERCIAL%20CONTRACT/Over%2055's/OPLD%20standards%20and%20badging/What%20is%20autism%20and%20the%20common%20characteristics?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sexcountycouncil-my.sharepoint.com/personal/sue_vallance_essex_gov_uk/Documents/Desktop/COMMERCIAL%20CONTRACT/Over%2055's/OPLD%20standards%20and%20badging/Health%20inequalities" TargetMode="External"/><Relationship Id="rId12" Type="http://schemas.openxmlformats.org/officeDocument/2006/relationships/hyperlink" Target="https://essexcountycouncil-my.sharepoint.com/personal/sue_vallance_essex_gov_uk/Documents/Desktop/COMMERCIAL%20CONTRACT/Over%2055's/OPLD%20standards%20and%20badging/Communication%20passpo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sexcountycouncil-my.sharepoint.com/personal/sue_vallance_essex_gov_uk/Documents/Desktop/COMMERCIAL%20CONTRACT/Over%2055's/OPLD%20standards%20and%20badging/What%20is%20Learning%20Disability?" TargetMode="External"/><Relationship Id="rId11" Type="http://schemas.openxmlformats.org/officeDocument/2006/relationships/hyperlink" Target="https://essexcountycouncil-my.sharepoint.com/personal/sue_vallance_essex_gov_uk/Documents/Desktop/COMMERCIAL%20CONTRACT/Over%2055's/OPLD%20standards%20and%20badging/Communicating%20with%20someone%20with%20a%20Learning%20Disabil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ssexcountycouncil-my.sharepoint.com/personal/sue_vallance_essex_gov_uk/Documents/Desktop/COMMERCIAL%20CONTRACT/Over%2055's/OPLD%20standards%20and%20badging/Down's%20syndro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sexcountycouncil-my.sharepoint.com/personal/sue_vallance_essex_gov_uk/Documents/Desktop/COMMERCIAL%20CONTRACT/Over%2055's/OPLD%20standards%20and%20badging/Reasonable%20adjustments%20in%20hospi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Green - Procurement Specialist</dc:creator>
  <cp:keywords/>
  <dc:description/>
  <cp:lastModifiedBy>Nick Green - Procurement Specialist</cp:lastModifiedBy>
  <cp:revision>4</cp:revision>
  <dcterms:created xsi:type="dcterms:W3CDTF">2022-04-27T15:53:00Z</dcterms:created>
  <dcterms:modified xsi:type="dcterms:W3CDTF">2022-04-27T16:11:00Z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2022-04-20T09:41:39Z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1da02751-3601-4497-b884-0000a6e39072</vt:lpwstr>
  </property>
  <property fmtid="{D5CDD505-2E9C-101B-9397-08002B2CF9AE}" pid="8" name="MSIP_Label_39d8be9e-c8d9-4b9c-bd40-2c27cc7ea2e6_ContentBits">
    <vt:lpwstr>0</vt:lpwstr>
  </property>
</Properties>
</file>