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733F" w:rsidRDefault="004E733F"/>
    <w:p w:rsidR="00B5259C" w:rsidRDefault="00B5259C" w:rsidP="00B5259C">
      <w:pPr>
        <w:pStyle w:val="NormalWeb"/>
        <w:spacing w:before="0" w:beforeAutospacing="0" w:after="0" w:afterAutospacing="0"/>
        <w:rPr>
          <w:rFonts w:asciiTheme="minorHAnsi" w:eastAsiaTheme="minorEastAsia" w:hAnsi="Calibri" w:cstheme="minorBidi"/>
          <w:color w:val="000000"/>
          <w:kern w:val="24"/>
          <w:sz w:val="72"/>
          <w:szCs w:val="72"/>
        </w:rPr>
      </w:pPr>
      <w:r>
        <w:rPr>
          <w:rFonts w:ascii="Arial" w:hAnsi="Arial" w:cs="Arial"/>
        </w:rPr>
        <w:t xml:space="preserve">Definition: </w:t>
      </w:r>
      <w:r w:rsidRPr="00B5259C">
        <w:rPr>
          <w:rFonts w:ascii="Arial" w:eastAsiaTheme="minorEastAsia" w:hAnsi="Arial" w:cs="Arial"/>
          <w:color w:val="000000"/>
          <w:kern w:val="24"/>
        </w:rPr>
        <w:t>A progressive, irreversible loss of mental functions caused by a disease or disorder affecting the brain.</w:t>
      </w:r>
      <w:r>
        <w:rPr>
          <w:rFonts w:asciiTheme="minorHAnsi" w:eastAsiaTheme="minorEastAsia" w:hAnsi="Calibri" w:cstheme="minorBidi"/>
          <w:color w:val="000000"/>
          <w:kern w:val="24"/>
          <w:sz w:val="72"/>
          <w:szCs w:val="72"/>
        </w:rPr>
        <w:t xml:space="preserve"> </w:t>
      </w:r>
    </w:p>
    <w:p w:rsidR="00B5259C" w:rsidRPr="00B5259C" w:rsidRDefault="00B5259C" w:rsidP="00B5259C">
      <w:pPr>
        <w:pStyle w:val="NormalWeb"/>
        <w:spacing w:before="0" w:beforeAutospacing="0" w:after="0" w:afterAutospacing="0"/>
      </w:pPr>
    </w:p>
    <w:p w:rsidR="00B26197" w:rsidRDefault="00B26197">
      <w:pPr>
        <w:rPr>
          <w:rFonts w:ascii="Arial" w:hAnsi="Arial" w:cs="Arial"/>
          <w:sz w:val="24"/>
          <w:szCs w:val="24"/>
        </w:rPr>
      </w:pPr>
      <w:r w:rsidRPr="00B26197">
        <w:rPr>
          <w:rFonts w:ascii="Arial" w:hAnsi="Arial" w:cs="Arial"/>
          <w:sz w:val="24"/>
          <w:szCs w:val="24"/>
        </w:rPr>
        <w:t>Anyone with an existing cognitive impairment</w:t>
      </w:r>
      <w:r>
        <w:t xml:space="preserve"> </w:t>
      </w:r>
      <w:r>
        <w:rPr>
          <w:rFonts w:ascii="Arial" w:hAnsi="Arial" w:cs="Arial"/>
          <w:sz w:val="24"/>
          <w:szCs w:val="24"/>
        </w:rPr>
        <w:t>has a greater likelihood of having dementia as they grow older. This includes people with an acquired brain injury and anyone with a learning disability and/or Autism. This is</w:t>
      </w:r>
      <w:r w:rsidR="00B5259C">
        <w:rPr>
          <w:rFonts w:ascii="Arial" w:hAnsi="Arial" w:cs="Arial"/>
          <w:sz w:val="24"/>
          <w:szCs w:val="24"/>
        </w:rPr>
        <w:t xml:space="preserve"> likely</w:t>
      </w:r>
      <w:r>
        <w:rPr>
          <w:rFonts w:ascii="Arial" w:hAnsi="Arial" w:cs="Arial"/>
          <w:sz w:val="24"/>
          <w:szCs w:val="24"/>
        </w:rPr>
        <w:t xml:space="preserve"> because the brain is already damaged in some way and so it is susceptible to further deterioration.</w:t>
      </w:r>
    </w:p>
    <w:p w:rsidR="00B5259C" w:rsidRPr="00F92D1A" w:rsidRDefault="00B5259C">
      <w:pPr>
        <w:rPr>
          <w:rFonts w:ascii="Arial" w:hAnsi="Arial" w:cs="Arial"/>
          <w:sz w:val="24"/>
          <w:szCs w:val="24"/>
        </w:rPr>
      </w:pPr>
      <w:r w:rsidRPr="00F92D1A">
        <w:rPr>
          <w:rFonts w:ascii="Arial" w:hAnsi="Arial" w:cs="Arial"/>
          <w:sz w:val="24"/>
          <w:szCs w:val="24"/>
          <w:shd w:val="clear" w:color="auto" w:fill="FFFFFF"/>
        </w:rPr>
        <w:t>Studies suggest that approximately 1 in 10 people aged 50 to 65 with learning disabilities other than Down's syndrome have dementia. This rises to more than half of those aged 85 or over. This suggests the risk is less than for people with Down's syndrome but still between two and three times greater than for the general population.</w:t>
      </w:r>
    </w:p>
    <w:p w:rsidR="00763713" w:rsidRPr="00F92D1A" w:rsidRDefault="00763713">
      <w:pPr>
        <w:rPr>
          <w:rFonts w:ascii="Arial" w:hAnsi="Arial" w:cs="Arial"/>
          <w:sz w:val="24"/>
          <w:szCs w:val="24"/>
          <w:shd w:val="clear" w:color="auto" w:fill="FFFFFF"/>
        </w:rPr>
      </w:pPr>
      <w:r w:rsidRPr="00F92D1A">
        <w:rPr>
          <w:rFonts w:ascii="Arial" w:hAnsi="Arial" w:cs="Arial"/>
          <w:sz w:val="24"/>
          <w:szCs w:val="24"/>
          <w:shd w:val="clear" w:color="auto" w:fill="FFFFFF"/>
        </w:rPr>
        <w:t>People with learning disabilities who develop dementia generally do so at a younger age. This is particularly the case for people with Down's syndrome: a third of people with Down's syndrome develop dementia in their 50s</w:t>
      </w:r>
      <w:r w:rsidR="00B5259C" w:rsidRPr="00F92D1A">
        <w:rPr>
          <w:rFonts w:ascii="Arial" w:hAnsi="Arial" w:cs="Arial"/>
          <w:sz w:val="24"/>
          <w:szCs w:val="24"/>
          <w:shd w:val="clear" w:color="auto" w:fill="FFFFFF"/>
        </w:rPr>
        <w:t xml:space="preserve"> and </w:t>
      </w:r>
      <w:r w:rsidRPr="00F92D1A">
        <w:rPr>
          <w:rFonts w:ascii="Arial" w:hAnsi="Arial" w:cs="Arial"/>
          <w:sz w:val="24"/>
          <w:szCs w:val="24"/>
          <w:shd w:val="clear" w:color="auto" w:fill="FFFFFF"/>
        </w:rPr>
        <w:t>1 in 50 people with Down's syndrome develop dementia in their 30s</w:t>
      </w:r>
      <w:r w:rsidR="00B5259C" w:rsidRPr="00F92D1A">
        <w:rPr>
          <w:rFonts w:ascii="Arial" w:hAnsi="Arial" w:cs="Arial"/>
          <w:sz w:val="24"/>
          <w:szCs w:val="24"/>
          <w:shd w:val="clear" w:color="auto" w:fill="FFFFFF"/>
        </w:rPr>
        <w:t>.</w:t>
      </w:r>
    </w:p>
    <w:p w:rsidR="00B5259C" w:rsidRDefault="00B5259C" w:rsidP="00F92D1A">
      <w:pPr>
        <w:rPr>
          <w:rFonts w:ascii="Arial" w:eastAsiaTheme="minorEastAsia" w:hAnsi="Arial" w:cs="Arial"/>
          <w:kern w:val="24"/>
          <w:sz w:val="24"/>
          <w:szCs w:val="24"/>
        </w:rPr>
      </w:pPr>
      <w:r w:rsidRPr="00F92D1A">
        <w:rPr>
          <w:rFonts w:ascii="Arial" w:hAnsi="Arial" w:cs="Arial"/>
          <w:sz w:val="24"/>
          <w:szCs w:val="24"/>
          <w:shd w:val="clear" w:color="auto" w:fill="FFFFFF"/>
        </w:rPr>
        <w:t xml:space="preserve">Some of the symptoms of dementia can be masked by the adults existing learning disability, for </w:t>
      </w:r>
      <w:r w:rsidR="00F92D1A" w:rsidRPr="00F92D1A">
        <w:rPr>
          <w:rFonts w:ascii="Arial" w:hAnsi="Arial" w:cs="Arial"/>
          <w:sz w:val="24"/>
          <w:szCs w:val="24"/>
          <w:shd w:val="clear" w:color="auto" w:fill="FFFFFF"/>
        </w:rPr>
        <w:t>instance,</w:t>
      </w:r>
      <w:r w:rsidRPr="00F92D1A">
        <w:rPr>
          <w:rFonts w:ascii="Arial" w:hAnsi="Arial" w:cs="Arial"/>
          <w:sz w:val="24"/>
          <w:szCs w:val="24"/>
          <w:shd w:val="clear" w:color="auto" w:fill="FFFFFF"/>
        </w:rPr>
        <w:t xml:space="preserve"> poor memory, </w:t>
      </w:r>
      <w:r w:rsidR="00F92D1A" w:rsidRPr="00F92D1A">
        <w:rPr>
          <w:rFonts w:ascii="Arial" w:eastAsiaTheme="minorEastAsia" w:hAnsi="Arial" w:cs="Arial"/>
          <w:kern w:val="24"/>
          <w:sz w:val="24"/>
          <w:szCs w:val="24"/>
        </w:rPr>
        <w:t>s</w:t>
      </w:r>
      <w:r w:rsidRPr="00F92D1A">
        <w:rPr>
          <w:rFonts w:ascii="Arial" w:eastAsiaTheme="minorEastAsia" w:hAnsi="Arial" w:cs="Arial"/>
          <w:kern w:val="24"/>
          <w:sz w:val="24"/>
          <w:szCs w:val="24"/>
        </w:rPr>
        <w:t>horter attention span</w:t>
      </w:r>
      <w:r w:rsidR="00F92D1A" w:rsidRPr="00F92D1A">
        <w:rPr>
          <w:rFonts w:ascii="Arial" w:eastAsiaTheme="minorEastAsia" w:hAnsi="Arial" w:cs="Arial"/>
          <w:kern w:val="24"/>
          <w:sz w:val="24"/>
          <w:szCs w:val="24"/>
        </w:rPr>
        <w:t>,</w:t>
      </w:r>
      <w:r w:rsidRPr="00F92D1A">
        <w:rPr>
          <w:rFonts w:ascii="Arial" w:eastAsiaTheme="minorEastAsia" w:hAnsi="Arial" w:cs="Arial"/>
          <w:kern w:val="24"/>
          <w:sz w:val="24"/>
          <w:szCs w:val="24"/>
        </w:rPr>
        <w:t xml:space="preserve"> </w:t>
      </w:r>
      <w:r w:rsidR="00F92D1A" w:rsidRPr="00F92D1A">
        <w:rPr>
          <w:rFonts w:ascii="Arial" w:eastAsiaTheme="minorEastAsia" w:hAnsi="Arial" w:cs="Arial"/>
          <w:kern w:val="24"/>
          <w:sz w:val="24"/>
          <w:szCs w:val="24"/>
        </w:rPr>
        <w:t>c</w:t>
      </w:r>
      <w:r w:rsidRPr="00F92D1A">
        <w:rPr>
          <w:rFonts w:ascii="Arial" w:eastAsiaTheme="minorEastAsia" w:hAnsi="Arial" w:cs="Arial"/>
          <w:kern w:val="24"/>
          <w:sz w:val="24"/>
          <w:szCs w:val="24"/>
        </w:rPr>
        <w:t>onfused thought processes</w:t>
      </w:r>
      <w:r w:rsidR="00F92D1A" w:rsidRPr="00F92D1A">
        <w:rPr>
          <w:rFonts w:ascii="Arial" w:eastAsiaTheme="minorEastAsia" w:hAnsi="Arial" w:cs="Arial"/>
          <w:kern w:val="24"/>
          <w:sz w:val="24"/>
          <w:szCs w:val="24"/>
        </w:rPr>
        <w:t>,</w:t>
      </w:r>
      <w:r w:rsidRPr="00F92D1A">
        <w:rPr>
          <w:rFonts w:ascii="Arial" w:eastAsiaTheme="minorEastAsia" w:hAnsi="Arial" w:cs="Arial"/>
          <w:kern w:val="24"/>
          <w:sz w:val="24"/>
          <w:szCs w:val="24"/>
        </w:rPr>
        <w:t xml:space="preserve"> </w:t>
      </w:r>
      <w:r w:rsidR="00F92D1A" w:rsidRPr="00F92D1A">
        <w:rPr>
          <w:rFonts w:ascii="Arial" w:eastAsiaTheme="minorEastAsia" w:hAnsi="Arial" w:cs="Arial"/>
          <w:kern w:val="24"/>
          <w:sz w:val="24"/>
          <w:szCs w:val="24"/>
        </w:rPr>
        <w:t>p</w:t>
      </w:r>
      <w:r w:rsidRPr="00F92D1A">
        <w:rPr>
          <w:rFonts w:ascii="Arial" w:eastAsiaTheme="minorEastAsia" w:hAnsi="Arial" w:cs="Arial"/>
          <w:kern w:val="24"/>
          <w:sz w:val="24"/>
          <w:szCs w:val="24"/>
        </w:rPr>
        <w:t>roblems carrying out everyday tasks</w:t>
      </w:r>
      <w:r w:rsidR="00F92D1A" w:rsidRPr="00F92D1A">
        <w:rPr>
          <w:rFonts w:ascii="Arial" w:eastAsiaTheme="minorEastAsia" w:hAnsi="Arial" w:cs="Arial"/>
          <w:kern w:val="24"/>
          <w:sz w:val="24"/>
          <w:szCs w:val="24"/>
        </w:rPr>
        <w:t xml:space="preserve">. </w:t>
      </w:r>
      <w:r w:rsidR="00F92D1A">
        <w:rPr>
          <w:rFonts w:ascii="Arial" w:eastAsiaTheme="minorEastAsia" w:hAnsi="Arial" w:cs="Arial"/>
          <w:kern w:val="24"/>
          <w:sz w:val="24"/>
          <w:szCs w:val="24"/>
        </w:rPr>
        <w:t xml:space="preserve">There are also </w:t>
      </w:r>
      <w:proofErr w:type="gramStart"/>
      <w:r w:rsidR="00F92D1A">
        <w:rPr>
          <w:rFonts w:ascii="Arial" w:eastAsiaTheme="minorEastAsia" w:hAnsi="Arial" w:cs="Arial"/>
          <w:kern w:val="24"/>
          <w:sz w:val="24"/>
          <w:szCs w:val="24"/>
        </w:rPr>
        <w:t>a number of</w:t>
      </w:r>
      <w:proofErr w:type="gramEnd"/>
      <w:r w:rsidR="00F92D1A">
        <w:rPr>
          <w:rFonts w:ascii="Arial" w:eastAsiaTheme="minorEastAsia" w:hAnsi="Arial" w:cs="Arial"/>
          <w:kern w:val="24"/>
          <w:sz w:val="24"/>
          <w:szCs w:val="24"/>
        </w:rPr>
        <w:t xml:space="preserve"> other conditions that may present as potentially being dementia and will need eliminating.</w:t>
      </w:r>
    </w:p>
    <w:p w:rsidR="00F92D1A" w:rsidRDefault="00F92D1A" w:rsidP="00F92D1A">
      <w:pPr>
        <w:rPr>
          <w:rFonts w:ascii="Arial" w:eastAsiaTheme="majorEastAsia" w:hAnsi="Arial" w:cs="Arial"/>
          <w:kern w:val="24"/>
          <w:sz w:val="24"/>
          <w:szCs w:val="24"/>
        </w:rPr>
      </w:pPr>
      <w:r w:rsidRPr="00F92D1A">
        <w:rPr>
          <w:rFonts w:ascii="Arial" w:eastAsiaTheme="majorEastAsia" w:hAnsi="Arial" w:cs="Arial"/>
          <w:kern w:val="24"/>
          <w:sz w:val="24"/>
          <w:szCs w:val="24"/>
        </w:rPr>
        <w:t xml:space="preserve">Delirium is a sudden change in a person’s mental state.  It is usually temporary, but if untreated, it can lead to very negative outcomes – even death. </w:t>
      </w:r>
      <w:r w:rsidR="0071385C">
        <w:rPr>
          <w:rFonts w:ascii="Arial" w:eastAsiaTheme="majorEastAsia" w:hAnsi="Arial" w:cs="Arial"/>
          <w:kern w:val="24"/>
          <w:sz w:val="24"/>
          <w:szCs w:val="24"/>
        </w:rPr>
        <w:t xml:space="preserve">People with a learning disability are more prone to delirium. It </w:t>
      </w:r>
      <w:r w:rsidRPr="00F92D1A">
        <w:rPr>
          <w:rFonts w:ascii="Arial" w:eastAsiaTheme="majorEastAsia" w:hAnsi="Arial" w:cs="Arial"/>
          <w:kern w:val="24"/>
          <w:sz w:val="24"/>
          <w:szCs w:val="24"/>
        </w:rPr>
        <w:t xml:space="preserve">is </w:t>
      </w:r>
      <w:r w:rsidR="0071385C">
        <w:rPr>
          <w:rFonts w:ascii="Arial" w:eastAsiaTheme="majorEastAsia" w:hAnsi="Arial" w:cs="Arial"/>
          <w:kern w:val="24"/>
          <w:sz w:val="24"/>
          <w:szCs w:val="24"/>
        </w:rPr>
        <w:t>trigge</w:t>
      </w:r>
      <w:r w:rsidRPr="00F92D1A">
        <w:rPr>
          <w:rFonts w:ascii="Arial" w:eastAsiaTheme="majorEastAsia" w:hAnsi="Arial" w:cs="Arial"/>
          <w:kern w:val="24"/>
          <w:sz w:val="24"/>
          <w:szCs w:val="24"/>
        </w:rPr>
        <w:t>red by a physical factor such as</w:t>
      </w:r>
      <w:r>
        <w:rPr>
          <w:rFonts w:ascii="Arial" w:eastAsiaTheme="majorEastAsia" w:hAnsi="Arial" w:cs="Arial"/>
          <w:kern w:val="24"/>
          <w:sz w:val="24"/>
          <w:szCs w:val="24"/>
        </w:rPr>
        <w:t xml:space="preserve"> trauma, urinary tract infection, sleep deprivation, fever, </w:t>
      </w:r>
      <w:proofErr w:type="gramStart"/>
      <w:r>
        <w:rPr>
          <w:rFonts w:ascii="Arial" w:eastAsiaTheme="majorEastAsia" w:hAnsi="Arial" w:cs="Arial"/>
          <w:kern w:val="24"/>
          <w:sz w:val="24"/>
          <w:szCs w:val="24"/>
        </w:rPr>
        <w:t>constipation</w:t>
      </w:r>
      <w:proofErr w:type="gramEnd"/>
      <w:r>
        <w:rPr>
          <w:rFonts w:ascii="Arial" w:eastAsiaTheme="majorEastAsia" w:hAnsi="Arial" w:cs="Arial"/>
          <w:kern w:val="24"/>
          <w:sz w:val="24"/>
          <w:szCs w:val="24"/>
        </w:rPr>
        <w:t xml:space="preserve"> and dehydration. If someone suddenly presents with acute </w:t>
      </w:r>
      <w:r w:rsidR="0071385C">
        <w:rPr>
          <w:rFonts w:ascii="Arial" w:eastAsiaTheme="majorEastAsia" w:hAnsi="Arial" w:cs="Arial"/>
          <w:kern w:val="24"/>
          <w:sz w:val="24"/>
          <w:szCs w:val="24"/>
        </w:rPr>
        <w:t xml:space="preserve">confusion, then delirium should be explored before jumping to a dementia diagnosis. </w:t>
      </w:r>
      <w:r>
        <w:rPr>
          <w:rFonts w:ascii="Arial" w:eastAsiaTheme="majorEastAsia" w:hAnsi="Arial" w:cs="Arial"/>
          <w:kern w:val="24"/>
          <w:sz w:val="24"/>
          <w:szCs w:val="24"/>
        </w:rPr>
        <w:t xml:space="preserve"> </w:t>
      </w:r>
    </w:p>
    <w:p w:rsidR="0071385C" w:rsidRDefault="0071385C" w:rsidP="00F92D1A">
      <w:pPr>
        <w:rPr>
          <w:rFonts w:ascii="Arial" w:eastAsiaTheme="minorEastAsia" w:hAnsi="Arial" w:cs="Arial"/>
          <w:color w:val="000000" w:themeColor="text1"/>
          <w:kern w:val="24"/>
          <w:sz w:val="24"/>
          <w:szCs w:val="24"/>
          <w:lang w:val="en-US"/>
        </w:rPr>
      </w:pPr>
      <w:r>
        <w:rPr>
          <w:rFonts w:ascii="Arial" w:eastAsiaTheme="majorEastAsia" w:hAnsi="Arial" w:cs="Arial"/>
          <w:kern w:val="24"/>
          <w:sz w:val="24"/>
          <w:szCs w:val="24"/>
        </w:rPr>
        <w:t xml:space="preserve">Frailty is acknowledged as an ongoing condition and is described as a </w:t>
      </w:r>
      <w:r w:rsidRPr="0071385C">
        <w:rPr>
          <w:rFonts w:ascii="Arial" w:eastAsiaTheme="minorEastAsia" w:hAnsi="Arial" w:cs="Arial"/>
          <w:color w:val="000000" w:themeColor="text1"/>
          <w:kern w:val="24"/>
          <w:sz w:val="24"/>
          <w:szCs w:val="24"/>
          <w:lang w:val="en-US"/>
        </w:rPr>
        <w:t>syndrome which results from multi-systems reduction in reserve capacity</w:t>
      </w:r>
      <w:r>
        <w:rPr>
          <w:rFonts w:ascii="Arial" w:eastAsiaTheme="minorEastAsia" w:hAnsi="Arial" w:cs="Arial"/>
          <w:color w:val="000000" w:themeColor="text1"/>
          <w:kern w:val="24"/>
          <w:sz w:val="24"/>
          <w:szCs w:val="24"/>
          <w:lang w:val="en-US"/>
        </w:rPr>
        <w:t>. This means that the person will be affected by multi organ issues (kidneys, heart etc.) as well as loss of muscle tone and bone density leading to poor mobility and strength. This can have an impact on overall wellbeing and present with some of the symptoms of dementia so this is something else that will need to be ruled out.</w:t>
      </w:r>
    </w:p>
    <w:p w:rsidR="0071385C" w:rsidRDefault="005E64B6" w:rsidP="00F92D1A">
      <w:pPr>
        <w:rPr>
          <w:rFonts w:ascii="Arial" w:eastAsiaTheme="minorEastAsia" w:hAnsi="Arial" w:cs="Arial"/>
          <w:color w:val="000000" w:themeColor="text1"/>
          <w:kern w:val="24"/>
          <w:sz w:val="24"/>
          <w:szCs w:val="24"/>
          <w:lang w:val="en-US"/>
        </w:rPr>
      </w:pPr>
      <w:r>
        <w:rPr>
          <w:rFonts w:ascii="Arial" w:eastAsiaTheme="minorEastAsia" w:hAnsi="Arial" w:cs="Arial"/>
          <w:color w:val="000000" w:themeColor="text1"/>
          <w:kern w:val="24"/>
          <w:sz w:val="24"/>
          <w:szCs w:val="24"/>
          <w:lang w:val="en-US"/>
        </w:rPr>
        <w:t xml:space="preserve">A diagnosis of dementia for someone with a learning disability will largely be dependent on the observations of those people who are supporting the individual. They will know what normal, regular behavior is and what the changes have been. It is crucial that clear dated records are kept that identify any changes in behavior, </w:t>
      </w:r>
      <w:proofErr w:type="gramStart"/>
      <w:r>
        <w:rPr>
          <w:rFonts w:ascii="Arial" w:eastAsiaTheme="minorEastAsia" w:hAnsi="Arial" w:cs="Arial"/>
          <w:color w:val="000000" w:themeColor="text1"/>
          <w:kern w:val="24"/>
          <w:sz w:val="24"/>
          <w:szCs w:val="24"/>
          <w:lang w:val="en-US"/>
        </w:rPr>
        <w:t>health</w:t>
      </w:r>
      <w:proofErr w:type="gramEnd"/>
      <w:r>
        <w:rPr>
          <w:rFonts w:ascii="Arial" w:eastAsiaTheme="minorEastAsia" w:hAnsi="Arial" w:cs="Arial"/>
          <w:color w:val="000000" w:themeColor="text1"/>
          <w:kern w:val="24"/>
          <w:sz w:val="24"/>
          <w:szCs w:val="24"/>
          <w:lang w:val="en-US"/>
        </w:rPr>
        <w:t xml:space="preserve"> or general wellbeing. There are specific tests that a health practitioner could do to see if someone has the start of </w:t>
      </w:r>
      <w:proofErr w:type="gramStart"/>
      <w:r>
        <w:rPr>
          <w:rFonts w:ascii="Arial" w:eastAsiaTheme="minorEastAsia" w:hAnsi="Arial" w:cs="Arial"/>
          <w:color w:val="000000" w:themeColor="text1"/>
          <w:kern w:val="24"/>
          <w:sz w:val="24"/>
          <w:szCs w:val="24"/>
          <w:lang w:val="en-US"/>
        </w:rPr>
        <w:t>dementia</w:t>
      </w:r>
      <w:proofErr w:type="gramEnd"/>
      <w:r>
        <w:rPr>
          <w:rFonts w:ascii="Arial" w:eastAsiaTheme="minorEastAsia" w:hAnsi="Arial" w:cs="Arial"/>
          <w:color w:val="000000" w:themeColor="text1"/>
          <w:kern w:val="24"/>
          <w:sz w:val="24"/>
          <w:szCs w:val="24"/>
          <w:lang w:val="en-US"/>
        </w:rPr>
        <w:t xml:space="preserve"> but these are complex and often involve asking questions that the individual may not be able to answer even on a good day. </w:t>
      </w:r>
    </w:p>
    <w:p w:rsidR="005E64B6" w:rsidRDefault="005E64B6" w:rsidP="00F92D1A">
      <w:pPr>
        <w:rPr>
          <w:rFonts w:ascii="Arial" w:eastAsiaTheme="minorEastAsia" w:hAnsi="Arial" w:cs="Arial"/>
          <w:color w:val="000000" w:themeColor="text1"/>
          <w:kern w:val="24"/>
          <w:sz w:val="24"/>
          <w:szCs w:val="24"/>
          <w:lang w:val="en-US"/>
        </w:rPr>
      </w:pPr>
      <w:r>
        <w:rPr>
          <w:rFonts w:ascii="Arial" w:eastAsiaTheme="minorEastAsia" w:hAnsi="Arial" w:cs="Arial"/>
          <w:color w:val="000000" w:themeColor="text1"/>
          <w:kern w:val="24"/>
          <w:sz w:val="24"/>
          <w:szCs w:val="24"/>
          <w:lang w:val="en-US"/>
        </w:rPr>
        <w:lastRenderedPageBreak/>
        <w:t>See below for some useful links</w:t>
      </w:r>
    </w:p>
    <w:p w:rsidR="005E64B6" w:rsidRDefault="00002C07" w:rsidP="005E64B6">
      <w:pPr>
        <w:spacing w:after="0" w:line="240" w:lineRule="auto"/>
        <w:rPr>
          <w:rFonts w:eastAsiaTheme="minorEastAsia" w:hAnsi="Calibri"/>
          <w:color w:val="0070C0"/>
          <w:kern w:val="24"/>
          <w:sz w:val="28"/>
          <w:szCs w:val="28"/>
          <w:lang w:eastAsia="en-GB"/>
        </w:rPr>
      </w:pPr>
      <w:hyperlink r:id="rId7" w:history="1">
        <w:r w:rsidR="005E64B6" w:rsidRPr="005E64B6">
          <w:rPr>
            <w:rFonts w:eastAsiaTheme="minorEastAsia" w:hAnsi="Calibri"/>
            <w:color w:val="0070C0"/>
            <w:kern w:val="24"/>
            <w:sz w:val="28"/>
            <w:szCs w:val="28"/>
            <w:u w:val="single"/>
            <w:lang w:eastAsia="en-GB"/>
          </w:rPr>
          <w:t>https://www.gov.uk/government/publications/people-with-dementia-and-learning-disabilities-reasonable-adjustments/dementia-and-people-with-learning-disabilities</w:t>
        </w:r>
      </w:hyperlink>
      <w:r w:rsidR="005E64B6" w:rsidRPr="005E64B6">
        <w:rPr>
          <w:rFonts w:eastAsiaTheme="minorEastAsia" w:hAnsi="Calibri"/>
          <w:color w:val="0070C0"/>
          <w:kern w:val="24"/>
          <w:sz w:val="28"/>
          <w:szCs w:val="28"/>
          <w:lang w:eastAsia="en-GB"/>
        </w:rPr>
        <w:t xml:space="preserve">  </w:t>
      </w:r>
    </w:p>
    <w:p w:rsidR="005E64B6" w:rsidRDefault="005E64B6" w:rsidP="005E64B6">
      <w:pPr>
        <w:spacing w:after="0" w:line="240" w:lineRule="auto"/>
        <w:rPr>
          <w:rFonts w:eastAsiaTheme="minorEastAsia" w:hAnsi="Calibri"/>
          <w:color w:val="0070C0"/>
          <w:kern w:val="24"/>
          <w:sz w:val="28"/>
          <w:szCs w:val="28"/>
          <w:lang w:eastAsia="en-GB"/>
        </w:rPr>
      </w:pPr>
    </w:p>
    <w:p w:rsidR="005E64B6" w:rsidRDefault="005E64B6" w:rsidP="005E64B6">
      <w:pPr>
        <w:spacing w:after="0" w:line="240" w:lineRule="auto"/>
        <w:rPr>
          <w:rFonts w:eastAsiaTheme="minorEastAsia" w:hAnsi="Calibri"/>
          <w:color w:val="0070C0"/>
          <w:kern w:val="24"/>
          <w:sz w:val="28"/>
          <w:szCs w:val="28"/>
          <w:lang w:eastAsia="en-GB"/>
        </w:rPr>
      </w:pPr>
    </w:p>
    <w:p w:rsidR="005E64B6" w:rsidRPr="005E64B6" w:rsidRDefault="00002C07" w:rsidP="005E64B6">
      <w:pPr>
        <w:spacing w:after="0" w:line="240" w:lineRule="auto"/>
        <w:rPr>
          <w:rFonts w:ascii="Times New Roman" w:eastAsia="Times New Roman" w:hAnsi="Times New Roman" w:cs="Times New Roman"/>
          <w:sz w:val="24"/>
          <w:szCs w:val="24"/>
          <w:lang w:eastAsia="en-GB"/>
        </w:rPr>
      </w:pPr>
      <w:hyperlink r:id="rId8" w:history="1">
        <w:r w:rsidR="005E64B6" w:rsidRPr="005E64B6">
          <w:rPr>
            <w:rFonts w:ascii="Arial" w:eastAsiaTheme="minorEastAsia" w:hAnsi="Arial" w:cs="Arial"/>
            <w:color w:val="0070C0"/>
            <w:kern w:val="24"/>
            <w:sz w:val="24"/>
            <w:szCs w:val="24"/>
            <w:u w:val="single"/>
            <w:lang w:eastAsia="en-GB"/>
          </w:rPr>
          <w:t>https://www.alzheimers.org.uk/about-dementia/types-dementia/learning-disabilities-dementia</w:t>
        </w:r>
      </w:hyperlink>
      <w:r w:rsidR="005E64B6" w:rsidRPr="005E64B6">
        <w:rPr>
          <w:rFonts w:ascii="Arial" w:eastAsiaTheme="minorEastAsia" w:hAnsi="Arial" w:cs="Arial"/>
          <w:color w:val="000000" w:themeColor="text1"/>
          <w:kern w:val="24"/>
          <w:sz w:val="24"/>
          <w:szCs w:val="24"/>
          <w:lang w:eastAsia="en-GB"/>
        </w:rPr>
        <w:t xml:space="preserve"> </w:t>
      </w:r>
    </w:p>
    <w:p w:rsidR="005E64B6" w:rsidRPr="005E64B6" w:rsidRDefault="005E64B6" w:rsidP="005E64B6">
      <w:pPr>
        <w:spacing w:after="0" w:line="240" w:lineRule="auto"/>
        <w:rPr>
          <w:rFonts w:ascii="Times New Roman" w:eastAsia="Times New Roman" w:hAnsi="Times New Roman" w:cs="Times New Roman"/>
          <w:color w:val="0070C0"/>
          <w:sz w:val="28"/>
          <w:szCs w:val="28"/>
          <w:lang w:eastAsia="en-GB"/>
        </w:rPr>
      </w:pPr>
    </w:p>
    <w:p w:rsidR="0071385C" w:rsidRPr="0071385C" w:rsidRDefault="0071385C" w:rsidP="00F92D1A">
      <w:pPr>
        <w:rPr>
          <w:rFonts w:ascii="Arial" w:eastAsiaTheme="majorEastAsia" w:hAnsi="Arial" w:cs="Arial"/>
          <w:kern w:val="24"/>
          <w:sz w:val="24"/>
          <w:szCs w:val="24"/>
        </w:rPr>
      </w:pPr>
    </w:p>
    <w:p w:rsidR="005E64B6" w:rsidRPr="005E64B6" w:rsidRDefault="00002C07" w:rsidP="005E64B6">
      <w:pPr>
        <w:spacing w:after="0" w:line="240" w:lineRule="auto"/>
        <w:rPr>
          <w:rFonts w:ascii="Times New Roman" w:eastAsia="Times New Roman" w:hAnsi="Times New Roman" w:cs="Times New Roman"/>
          <w:color w:val="0070C0"/>
          <w:sz w:val="28"/>
          <w:szCs w:val="28"/>
          <w:lang w:eastAsia="en-GB"/>
        </w:rPr>
      </w:pPr>
      <w:hyperlink r:id="rId9" w:history="1">
        <w:r w:rsidR="005E64B6" w:rsidRPr="005E64B6">
          <w:rPr>
            <w:rFonts w:ascii="Arial" w:eastAsiaTheme="minorEastAsia" w:hAnsi="Arial" w:cs="Arial"/>
            <w:color w:val="0070C0"/>
            <w:kern w:val="24"/>
            <w:sz w:val="28"/>
            <w:szCs w:val="28"/>
            <w:u w:val="single"/>
            <w:lang w:eastAsia="en-GB"/>
          </w:rPr>
          <w:t>https://www.dementiauk.org/get-support/maintaining-health-in-dementia/learning-disability-and-dementia/</w:t>
        </w:r>
      </w:hyperlink>
      <w:r w:rsidR="005E64B6" w:rsidRPr="005E64B6">
        <w:rPr>
          <w:rFonts w:ascii="Arial" w:eastAsiaTheme="minorEastAsia" w:hAnsi="Arial" w:cs="Arial"/>
          <w:color w:val="0070C0"/>
          <w:kern w:val="24"/>
          <w:sz w:val="28"/>
          <w:szCs w:val="28"/>
          <w:lang w:eastAsia="en-GB"/>
        </w:rPr>
        <w:t xml:space="preserve"> </w:t>
      </w:r>
    </w:p>
    <w:p w:rsidR="0071385C" w:rsidRPr="00F92D1A" w:rsidRDefault="0071385C" w:rsidP="00F92D1A">
      <w:pPr>
        <w:rPr>
          <w:rFonts w:ascii="Arial" w:hAnsi="Arial" w:cs="Arial"/>
          <w:sz w:val="24"/>
          <w:szCs w:val="24"/>
        </w:rPr>
      </w:pPr>
    </w:p>
    <w:p w:rsidR="00B5259C" w:rsidRPr="00F92D1A" w:rsidRDefault="00B5259C">
      <w:pPr>
        <w:rPr>
          <w:rFonts w:ascii="Arial" w:hAnsi="Arial" w:cs="Arial"/>
          <w:sz w:val="24"/>
          <w:szCs w:val="24"/>
          <w:shd w:val="clear" w:color="auto" w:fill="FFFFFF"/>
        </w:rPr>
      </w:pPr>
    </w:p>
    <w:sectPr w:rsidR="00B5259C" w:rsidRPr="00F92D1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2C07" w:rsidRDefault="00002C07" w:rsidP="00B26197">
      <w:pPr>
        <w:spacing w:after="0" w:line="240" w:lineRule="auto"/>
      </w:pPr>
      <w:r>
        <w:separator/>
      </w:r>
    </w:p>
  </w:endnote>
  <w:endnote w:type="continuationSeparator" w:id="0">
    <w:p w:rsidR="00002C07" w:rsidRDefault="00002C07" w:rsidP="00B2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386" w:rsidRDefault="00453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386" w:rsidRDefault="00453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386" w:rsidRDefault="00453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2C07" w:rsidRDefault="00002C07" w:rsidP="00B26197">
      <w:pPr>
        <w:spacing w:after="0" w:line="240" w:lineRule="auto"/>
      </w:pPr>
      <w:r>
        <w:separator/>
      </w:r>
    </w:p>
  </w:footnote>
  <w:footnote w:type="continuationSeparator" w:id="0">
    <w:p w:rsidR="00002C07" w:rsidRDefault="00002C07" w:rsidP="00B26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386" w:rsidRDefault="00453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197" w:rsidRPr="00B26197" w:rsidRDefault="00B26197" w:rsidP="00F33571">
    <w:pPr>
      <w:pStyle w:val="Header"/>
      <w:jc w:val="center"/>
      <w:rPr>
        <w:b/>
        <w:bCs/>
        <w:color w:val="1F4E79" w:themeColor="accent5" w:themeShade="80"/>
        <w:sz w:val="44"/>
        <w:szCs w:val="44"/>
      </w:rPr>
    </w:pPr>
    <w:r w:rsidRPr="00B26197">
      <w:rPr>
        <w:b/>
        <w:bCs/>
        <w:color w:val="1F4E79" w:themeColor="accent5" w:themeShade="80"/>
        <w:sz w:val="44"/>
        <w:szCs w:val="44"/>
      </w:rPr>
      <w:t>Dementia in people with a Learning</w:t>
    </w:r>
    <w:r w:rsidR="00F33571">
      <w:rPr>
        <w:b/>
        <w:bCs/>
        <w:color w:val="1F4E79" w:themeColor="accent5" w:themeShade="80"/>
        <w:sz w:val="44"/>
        <w:szCs w:val="44"/>
      </w:rPr>
      <w:t xml:space="preserve">         </w:t>
    </w:r>
    <w:r w:rsidR="002D2FDC">
      <w:rPr>
        <w:b/>
        <w:bCs/>
        <w:color w:val="1F4E79" w:themeColor="accent5" w:themeShade="80"/>
        <w:sz w:val="44"/>
        <w:szCs w:val="44"/>
      </w:rPr>
      <w:t xml:space="preserve">    </w:t>
    </w:r>
    <w:r w:rsidR="00F33571">
      <w:rPr>
        <w:b/>
        <w:bCs/>
        <w:noProof/>
        <w:color w:val="1F4E79" w:themeColor="accent5" w:themeShade="80"/>
        <w:sz w:val="44"/>
        <w:szCs w:val="44"/>
      </w:rPr>
      <w:drawing>
        <wp:inline distT="0" distB="0" distL="0" distR="0" wp14:anchorId="6E6A1615" wp14:editId="5ED978CC">
          <wp:extent cx="737870" cy="44672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6102" cy="451707"/>
                  </a:xfrm>
                  <a:prstGeom prst="rect">
                    <a:avLst/>
                  </a:prstGeom>
                </pic:spPr>
              </pic:pic>
            </a:graphicData>
          </a:graphic>
        </wp:inline>
      </w:drawing>
    </w:r>
    <w:r w:rsidRPr="00B26197">
      <w:rPr>
        <w:b/>
        <w:bCs/>
        <w:color w:val="1F4E79" w:themeColor="accent5" w:themeShade="80"/>
        <w:sz w:val="44"/>
        <w:szCs w:val="44"/>
      </w:rPr>
      <w:t>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386" w:rsidRDefault="00453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870E2"/>
    <w:multiLevelType w:val="hybridMultilevel"/>
    <w:tmpl w:val="C316B888"/>
    <w:lvl w:ilvl="0" w:tplc="A8E00DE4">
      <w:start w:val="1"/>
      <w:numFmt w:val="bullet"/>
      <w:lvlText w:val=""/>
      <w:lvlJc w:val="left"/>
      <w:pPr>
        <w:tabs>
          <w:tab w:val="num" w:pos="720"/>
        </w:tabs>
        <w:ind w:left="720" w:hanging="360"/>
      </w:pPr>
      <w:rPr>
        <w:rFonts w:ascii="Wingdings" w:hAnsi="Wingdings" w:hint="default"/>
      </w:rPr>
    </w:lvl>
    <w:lvl w:ilvl="1" w:tplc="219E040C" w:tentative="1">
      <w:start w:val="1"/>
      <w:numFmt w:val="bullet"/>
      <w:lvlText w:val=""/>
      <w:lvlJc w:val="left"/>
      <w:pPr>
        <w:tabs>
          <w:tab w:val="num" w:pos="1440"/>
        </w:tabs>
        <w:ind w:left="1440" w:hanging="360"/>
      </w:pPr>
      <w:rPr>
        <w:rFonts w:ascii="Wingdings" w:hAnsi="Wingdings" w:hint="default"/>
      </w:rPr>
    </w:lvl>
    <w:lvl w:ilvl="2" w:tplc="7AF8FD94" w:tentative="1">
      <w:start w:val="1"/>
      <w:numFmt w:val="bullet"/>
      <w:lvlText w:val=""/>
      <w:lvlJc w:val="left"/>
      <w:pPr>
        <w:tabs>
          <w:tab w:val="num" w:pos="2160"/>
        </w:tabs>
        <w:ind w:left="2160" w:hanging="360"/>
      </w:pPr>
      <w:rPr>
        <w:rFonts w:ascii="Wingdings" w:hAnsi="Wingdings" w:hint="default"/>
      </w:rPr>
    </w:lvl>
    <w:lvl w:ilvl="3" w:tplc="B7B42AA6" w:tentative="1">
      <w:start w:val="1"/>
      <w:numFmt w:val="bullet"/>
      <w:lvlText w:val=""/>
      <w:lvlJc w:val="left"/>
      <w:pPr>
        <w:tabs>
          <w:tab w:val="num" w:pos="2880"/>
        </w:tabs>
        <w:ind w:left="2880" w:hanging="360"/>
      </w:pPr>
      <w:rPr>
        <w:rFonts w:ascii="Wingdings" w:hAnsi="Wingdings" w:hint="default"/>
      </w:rPr>
    </w:lvl>
    <w:lvl w:ilvl="4" w:tplc="7E5281F0" w:tentative="1">
      <w:start w:val="1"/>
      <w:numFmt w:val="bullet"/>
      <w:lvlText w:val=""/>
      <w:lvlJc w:val="left"/>
      <w:pPr>
        <w:tabs>
          <w:tab w:val="num" w:pos="3600"/>
        </w:tabs>
        <w:ind w:left="3600" w:hanging="360"/>
      </w:pPr>
      <w:rPr>
        <w:rFonts w:ascii="Wingdings" w:hAnsi="Wingdings" w:hint="default"/>
      </w:rPr>
    </w:lvl>
    <w:lvl w:ilvl="5" w:tplc="4DEE2D46" w:tentative="1">
      <w:start w:val="1"/>
      <w:numFmt w:val="bullet"/>
      <w:lvlText w:val=""/>
      <w:lvlJc w:val="left"/>
      <w:pPr>
        <w:tabs>
          <w:tab w:val="num" w:pos="4320"/>
        </w:tabs>
        <w:ind w:left="4320" w:hanging="360"/>
      </w:pPr>
      <w:rPr>
        <w:rFonts w:ascii="Wingdings" w:hAnsi="Wingdings" w:hint="default"/>
      </w:rPr>
    </w:lvl>
    <w:lvl w:ilvl="6" w:tplc="4140C194" w:tentative="1">
      <w:start w:val="1"/>
      <w:numFmt w:val="bullet"/>
      <w:lvlText w:val=""/>
      <w:lvlJc w:val="left"/>
      <w:pPr>
        <w:tabs>
          <w:tab w:val="num" w:pos="5040"/>
        </w:tabs>
        <w:ind w:left="5040" w:hanging="360"/>
      </w:pPr>
      <w:rPr>
        <w:rFonts w:ascii="Wingdings" w:hAnsi="Wingdings" w:hint="default"/>
      </w:rPr>
    </w:lvl>
    <w:lvl w:ilvl="7" w:tplc="CE485394" w:tentative="1">
      <w:start w:val="1"/>
      <w:numFmt w:val="bullet"/>
      <w:lvlText w:val=""/>
      <w:lvlJc w:val="left"/>
      <w:pPr>
        <w:tabs>
          <w:tab w:val="num" w:pos="5760"/>
        </w:tabs>
        <w:ind w:left="5760" w:hanging="360"/>
      </w:pPr>
      <w:rPr>
        <w:rFonts w:ascii="Wingdings" w:hAnsi="Wingdings" w:hint="default"/>
      </w:rPr>
    </w:lvl>
    <w:lvl w:ilvl="8" w:tplc="D9F6534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97"/>
    <w:rsid w:val="00002C07"/>
    <w:rsid w:val="002D2FDC"/>
    <w:rsid w:val="00312E0F"/>
    <w:rsid w:val="00453386"/>
    <w:rsid w:val="004E733F"/>
    <w:rsid w:val="005E64B6"/>
    <w:rsid w:val="0060157F"/>
    <w:rsid w:val="0071385C"/>
    <w:rsid w:val="00763713"/>
    <w:rsid w:val="00865EC4"/>
    <w:rsid w:val="00AA0494"/>
    <w:rsid w:val="00B26197"/>
    <w:rsid w:val="00B42328"/>
    <w:rsid w:val="00B5259C"/>
    <w:rsid w:val="00F33571"/>
    <w:rsid w:val="00F92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29DB6"/>
  <w15:chartTrackingRefBased/>
  <w15:docId w15:val="{C43D8DDE-4971-49B1-96D7-F3CE894B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197"/>
  </w:style>
  <w:style w:type="paragraph" w:styleId="Footer">
    <w:name w:val="footer"/>
    <w:basedOn w:val="Normal"/>
    <w:link w:val="FooterChar"/>
    <w:uiPriority w:val="99"/>
    <w:unhideWhenUsed/>
    <w:rsid w:val="00B2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197"/>
  </w:style>
  <w:style w:type="paragraph" w:styleId="NormalWeb">
    <w:name w:val="Normal (Web)"/>
    <w:basedOn w:val="Normal"/>
    <w:uiPriority w:val="99"/>
    <w:unhideWhenUsed/>
    <w:rsid w:val="00B525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59C"/>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E6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4525">
      <w:bodyDiv w:val="1"/>
      <w:marLeft w:val="0"/>
      <w:marRight w:val="0"/>
      <w:marTop w:val="0"/>
      <w:marBottom w:val="0"/>
      <w:divBdr>
        <w:top w:val="none" w:sz="0" w:space="0" w:color="auto"/>
        <w:left w:val="none" w:sz="0" w:space="0" w:color="auto"/>
        <w:bottom w:val="none" w:sz="0" w:space="0" w:color="auto"/>
        <w:right w:val="none" w:sz="0" w:space="0" w:color="auto"/>
      </w:divBdr>
      <w:divsChild>
        <w:div w:id="1656953259">
          <w:marLeft w:val="0"/>
          <w:marRight w:val="0"/>
          <w:marTop w:val="0"/>
          <w:marBottom w:val="80"/>
          <w:divBdr>
            <w:top w:val="none" w:sz="0" w:space="0" w:color="auto"/>
            <w:left w:val="none" w:sz="0" w:space="0" w:color="auto"/>
            <w:bottom w:val="none" w:sz="0" w:space="0" w:color="auto"/>
            <w:right w:val="none" w:sz="0" w:space="0" w:color="auto"/>
          </w:divBdr>
        </w:div>
        <w:div w:id="648945039">
          <w:marLeft w:val="0"/>
          <w:marRight w:val="0"/>
          <w:marTop w:val="0"/>
          <w:marBottom w:val="80"/>
          <w:divBdr>
            <w:top w:val="none" w:sz="0" w:space="0" w:color="auto"/>
            <w:left w:val="none" w:sz="0" w:space="0" w:color="auto"/>
            <w:bottom w:val="none" w:sz="0" w:space="0" w:color="auto"/>
            <w:right w:val="none" w:sz="0" w:space="0" w:color="auto"/>
          </w:divBdr>
        </w:div>
        <w:div w:id="839660508">
          <w:marLeft w:val="0"/>
          <w:marRight w:val="0"/>
          <w:marTop w:val="0"/>
          <w:marBottom w:val="80"/>
          <w:divBdr>
            <w:top w:val="none" w:sz="0" w:space="0" w:color="auto"/>
            <w:left w:val="none" w:sz="0" w:space="0" w:color="auto"/>
            <w:bottom w:val="none" w:sz="0" w:space="0" w:color="auto"/>
            <w:right w:val="none" w:sz="0" w:space="0" w:color="auto"/>
          </w:divBdr>
        </w:div>
      </w:divsChild>
    </w:div>
    <w:div w:id="447091882">
      <w:bodyDiv w:val="1"/>
      <w:marLeft w:val="0"/>
      <w:marRight w:val="0"/>
      <w:marTop w:val="0"/>
      <w:marBottom w:val="0"/>
      <w:divBdr>
        <w:top w:val="none" w:sz="0" w:space="0" w:color="auto"/>
        <w:left w:val="none" w:sz="0" w:space="0" w:color="auto"/>
        <w:bottom w:val="none" w:sz="0" w:space="0" w:color="auto"/>
        <w:right w:val="none" w:sz="0" w:space="0" w:color="auto"/>
      </w:divBdr>
    </w:div>
    <w:div w:id="673610019">
      <w:bodyDiv w:val="1"/>
      <w:marLeft w:val="0"/>
      <w:marRight w:val="0"/>
      <w:marTop w:val="0"/>
      <w:marBottom w:val="0"/>
      <w:divBdr>
        <w:top w:val="none" w:sz="0" w:space="0" w:color="auto"/>
        <w:left w:val="none" w:sz="0" w:space="0" w:color="auto"/>
        <w:bottom w:val="none" w:sz="0" w:space="0" w:color="auto"/>
        <w:right w:val="none" w:sz="0" w:space="0" w:color="auto"/>
      </w:divBdr>
    </w:div>
    <w:div w:id="1397313456">
      <w:bodyDiv w:val="1"/>
      <w:marLeft w:val="0"/>
      <w:marRight w:val="0"/>
      <w:marTop w:val="0"/>
      <w:marBottom w:val="0"/>
      <w:divBdr>
        <w:top w:val="none" w:sz="0" w:space="0" w:color="auto"/>
        <w:left w:val="none" w:sz="0" w:space="0" w:color="auto"/>
        <w:bottom w:val="none" w:sz="0" w:space="0" w:color="auto"/>
        <w:right w:val="none" w:sz="0" w:space="0" w:color="auto"/>
      </w:divBdr>
    </w:div>
    <w:div w:id="175377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heimers.org.uk/about-dementia/types-dementia/learning-disabilities-dement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publications/people-with-dementia-and-learning-disabilities-reasonable-adjustments/dementia-and-people-with-learning-disabiliti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mentiauk.org/get-support/maintaining-health-in-dementia/learning-disability-and-dementi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Peckham - Provider Quality Innovation Manager</dc:creator>
  <cp:keywords/>
  <dc:description/>
  <cp:lastModifiedBy>Anyes Rodgers - Procurement Support Officer</cp:lastModifiedBy>
  <cp:revision>1</cp:revision>
  <dcterms:created xsi:type="dcterms:W3CDTF">2022-05-19T12:30:00Z</dcterms:created>
  <dcterms:modified xsi:type="dcterms:W3CDTF">2022-05-19T12:30:00Z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2021-11-29T12:29:12Z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ed09f454-1be2-48ae-8bc4-00008d0caa4d</vt:lpwstr>
  </property>
  <property fmtid="{D5CDD505-2E9C-101B-9397-08002B2CF9AE}" pid="8" name="MSIP_Label_39d8be9e-c8d9-4b9c-bd40-2c27cc7ea2e6_ContentBits">
    <vt:lpwstr>0</vt:lpwstr>
  </property>
</Properties>
</file>