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2A07" w:rsidRDefault="00272A07"/>
    <w:p w:rsidR="0099481B" w:rsidRDefault="0099481B" w:rsidP="0099481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tool is often used in NEE CCG area</w:t>
      </w:r>
    </w:p>
    <w:p w:rsidR="007466FB" w:rsidRPr="007466FB" w:rsidRDefault="00AA4B47" w:rsidP="007466F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9481B">
        <w:rPr>
          <w:rFonts w:ascii="Arial" w:hAnsi="Arial" w:cs="Arial"/>
          <w:sz w:val="28"/>
          <w:szCs w:val="28"/>
        </w:rPr>
        <w:t>Restore 2 mini is a simpler version of the Restore 2 tool. Restore 2 mini focuses on observations only</w:t>
      </w:r>
      <w:r w:rsidR="0099481B">
        <w:rPr>
          <w:rFonts w:ascii="Arial" w:hAnsi="Arial" w:cs="Arial"/>
          <w:sz w:val="28"/>
          <w:szCs w:val="28"/>
        </w:rPr>
        <w:t>,</w:t>
      </w:r>
      <w:r w:rsidRPr="0099481B">
        <w:rPr>
          <w:rFonts w:ascii="Arial" w:hAnsi="Arial" w:cs="Arial"/>
          <w:sz w:val="28"/>
          <w:szCs w:val="28"/>
        </w:rPr>
        <w:t xml:space="preserve"> whereas the original tool is designed for use </w:t>
      </w:r>
      <w:r w:rsidR="0099481B" w:rsidRPr="0099481B">
        <w:rPr>
          <w:rFonts w:ascii="Arial" w:hAnsi="Arial" w:cs="Arial"/>
          <w:sz w:val="28"/>
          <w:szCs w:val="28"/>
        </w:rPr>
        <w:t>alongside</w:t>
      </w:r>
      <w:r w:rsidRPr="0099481B">
        <w:rPr>
          <w:rFonts w:ascii="Arial" w:hAnsi="Arial" w:cs="Arial"/>
          <w:sz w:val="28"/>
          <w:szCs w:val="28"/>
        </w:rPr>
        <w:t xml:space="preserve"> medical equipment such as blood pressure cuffs, pulse oximeters </w:t>
      </w:r>
      <w:r w:rsidR="0099481B" w:rsidRPr="0099481B">
        <w:rPr>
          <w:rFonts w:ascii="Arial" w:hAnsi="Arial" w:cs="Arial"/>
          <w:sz w:val="28"/>
          <w:szCs w:val="28"/>
        </w:rPr>
        <w:t>&amp;</w:t>
      </w:r>
      <w:r w:rsidRPr="0099481B">
        <w:rPr>
          <w:rFonts w:ascii="Arial" w:hAnsi="Arial" w:cs="Arial"/>
          <w:sz w:val="28"/>
          <w:szCs w:val="28"/>
        </w:rPr>
        <w:t xml:space="preserve"> thermometers</w:t>
      </w:r>
      <w:r w:rsidR="0099481B" w:rsidRPr="0099481B">
        <w:rPr>
          <w:rFonts w:ascii="Arial" w:hAnsi="Arial" w:cs="Arial"/>
          <w:sz w:val="28"/>
          <w:szCs w:val="28"/>
        </w:rPr>
        <w:t>.</w:t>
      </w:r>
      <w:r w:rsidR="007466FB">
        <w:rPr>
          <w:rFonts w:ascii="Arial" w:hAnsi="Arial" w:cs="Arial"/>
          <w:sz w:val="28"/>
          <w:szCs w:val="28"/>
        </w:rPr>
        <w:t xml:space="preserve"> (not all services have this equipment)</w:t>
      </w:r>
    </w:p>
    <w:p w:rsidR="007466FB" w:rsidRPr="007466FB" w:rsidRDefault="0099481B" w:rsidP="007466F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has the same principal as the Significant 7 tool in that it is intended to be used when you think a resident is becoming unwell. </w:t>
      </w:r>
    </w:p>
    <w:p w:rsidR="0099481B" w:rsidRDefault="0099481B" w:rsidP="0099481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focuses on the same soft signs such as breathing, toilet, skin, hydration, nutrition, confusion, mood and mobility. </w:t>
      </w:r>
    </w:p>
    <w:p w:rsidR="0099481B" w:rsidRDefault="0099481B" w:rsidP="0099481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tool also requires an individual baseline so that the person undertaking the observations has an idea of what is normal for the individual.</w:t>
      </w:r>
    </w:p>
    <w:p w:rsidR="0099481B" w:rsidRDefault="0099481B" w:rsidP="0099481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the observations raise any concerns the tool then has a specified process for reporting the findings to health professionals </w:t>
      </w:r>
      <w:r w:rsidR="007466FB">
        <w:rPr>
          <w:rFonts w:ascii="Arial" w:hAnsi="Arial" w:cs="Arial"/>
          <w:sz w:val="28"/>
          <w:szCs w:val="28"/>
        </w:rPr>
        <w:t>(SBARD)</w:t>
      </w:r>
    </w:p>
    <w:p w:rsidR="007466FB" w:rsidRDefault="007466FB" w:rsidP="007466FB">
      <w:pPr>
        <w:rPr>
          <w:rFonts w:ascii="Arial" w:hAnsi="Arial" w:cs="Arial"/>
          <w:sz w:val="28"/>
          <w:szCs w:val="28"/>
        </w:rPr>
      </w:pPr>
    </w:p>
    <w:p w:rsidR="007466FB" w:rsidRDefault="007466FB" w:rsidP="007466FB">
      <w:pPr>
        <w:rPr>
          <w:rFonts w:ascii="Arial" w:hAnsi="Arial" w:cs="Arial"/>
          <w:sz w:val="28"/>
          <w:szCs w:val="28"/>
        </w:rPr>
      </w:pPr>
    </w:p>
    <w:p w:rsidR="007466FB" w:rsidRDefault="007466FB" w:rsidP="007466FB">
      <w:pPr>
        <w:rPr>
          <w:rFonts w:ascii="Arial" w:hAnsi="Arial" w:cs="Arial"/>
          <w:sz w:val="28"/>
          <w:szCs w:val="28"/>
        </w:rPr>
      </w:pPr>
    </w:p>
    <w:p w:rsidR="007466FB" w:rsidRPr="007466FB" w:rsidRDefault="007466FB" w:rsidP="007466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</w:t>
      </w:r>
      <w:r>
        <w:rPr>
          <w:rFonts w:ascii="Arial" w:hAnsi="Arial" w:cs="Arial"/>
          <w:sz w:val="28"/>
          <w:szCs w:val="28"/>
        </w:rPr>
        <w:object w:dxaOrig="1534" w:dyaOrig="997" w14:anchorId="423812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5pt;height:49.5pt" o:ole="">
            <v:imagedata r:id="rId7" o:title=""/>
          </v:shape>
          <o:OLEObject Type="Embed" ProgID="AcroExch.Document.DC" ShapeID="_x0000_i1025" DrawAspect="Icon" ObjectID="_1714472896" r:id="rId8"/>
        </w:object>
      </w:r>
    </w:p>
    <w:p w:rsidR="0099481B" w:rsidRDefault="0099481B"/>
    <w:p w:rsidR="0099481B" w:rsidRDefault="0099481B"/>
    <w:p w:rsidR="00AA4B47" w:rsidRDefault="00AA4B47"/>
    <w:p w:rsidR="00AA4B47" w:rsidRDefault="00AA4B47"/>
    <w:p w:rsidR="00AA4B47" w:rsidRDefault="00AA4B47"/>
    <w:sectPr w:rsidR="00AA4B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4EAA" w:rsidRDefault="00AB4EAA" w:rsidP="00AA4B47">
      <w:pPr>
        <w:spacing w:after="0" w:line="240" w:lineRule="auto"/>
      </w:pPr>
      <w:r>
        <w:separator/>
      </w:r>
    </w:p>
  </w:endnote>
  <w:endnote w:type="continuationSeparator" w:id="0">
    <w:p w:rsidR="00AB4EAA" w:rsidRDefault="00AB4EAA" w:rsidP="00AA4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2F0D" w:rsidRDefault="00482F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2F0D" w:rsidRDefault="00482F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2F0D" w:rsidRDefault="00482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4EAA" w:rsidRDefault="00AB4EAA" w:rsidP="00AA4B47">
      <w:pPr>
        <w:spacing w:after="0" w:line="240" w:lineRule="auto"/>
      </w:pPr>
      <w:r>
        <w:separator/>
      </w:r>
    </w:p>
  </w:footnote>
  <w:footnote w:type="continuationSeparator" w:id="0">
    <w:p w:rsidR="00AB4EAA" w:rsidRDefault="00AB4EAA" w:rsidP="00AA4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2F0D" w:rsidRDefault="00482F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4B47" w:rsidRPr="00AA4B47" w:rsidRDefault="00D206A4">
    <w:pPr>
      <w:pStyle w:val="Header"/>
      <w:rPr>
        <w:b/>
        <w:bCs/>
        <w:color w:val="1F4E79" w:themeColor="accent5" w:themeShade="80"/>
        <w:sz w:val="56"/>
        <w:szCs w:val="56"/>
      </w:rPr>
    </w:pPr>
    <w:r>
      <w:rPr>
        <w:b/>
        <w:bCs/>
        <w:noProof/>
        <w:color w:val="1F4E79" w:themeColor="accent5" w:themeShade="80"/>
        <w:sz w:val="56"/>
        <w:szCs w:val="56"/>
      </w:rPr>
      <w:drawing>
        <wp:inline distT="0" distB="0" distL="0" distR="0" wp14:anchorId="0E3736F6" wp14:editId="0FEDCD50">
          <wp:extent cx="961905" cy="44761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905" cy="447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4B47" w:rsidRPr="00AA4B47">
      <w:rPr>
        <w:b/>
        <w:bCs/>
        <w:noProof/>
        <w:color w:val="1F4E79" w:themeColor="accent5" w:themeShade="80"/>
        <w:sz w:val="56"/>
        <w:szCs w:val="56"/>
      </w:rPr>
      <w:drawing>
        <wp:inline distT="0" distB="0" distL="0" distR="0" wp14:anchorId="7FC7CDC9" wp14:editId="2F2EA2CA">
          <wp:extent cx="4696480" cy="819264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96480" cy="819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2F0D" w:rsidRDefault="00482F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348AA"/>
    <w:multiLevelType w:val="hybridMultilevel"/>
    <w:tmpl w:val="EF5AE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B47"/>
    <w:rsid w:val="00054855"/>
    <w:rsid w:val="00272A07"/>
    <w:rsid w:val="00482F0D"/>
    <w:rsid w:val="00537983"/>
    <w:rsid w:val="007466FB"/>
    <w:rsid w:val="00940D8A"/>
    <w:rsid w:val="0099481B"/>
    <w:rsid w:val="00AA4B47"/>
    <w:rsid w:val="00AB4EAA"/>
    <w:rsid w:val="00D2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3E40C"/>
  <w15:chartTrackingRefBased/>
  <w15:docId w15:val="{6C6FA092-3C37-4AFA-AFEB-998C58B3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B47"/>
  </w:style>
  <w:style w:type="paragraph" w:styleId="Footer">
    <w:name w:val="footer"/>
    <w:basedOn w:val="Normal"/>
    <w:link w:val="FooterChar"/>
    <w:uiPriority w:val="99"/>
    <w:unhideWhenUsed/>
    <w:rsid w:val="00AA4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B47"/>
  </w:style>
  <w:style w:type="paragraph" w:styleId="ListParagraph">
    <w:name w:val="List Paragraph"/>
    <w:basedOn w:val="Normal"/>
    <w:uiPriority w:val="34"/>
    <w:qFormat/>
    <w:rsid w:val="00994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Peckham - Provider Quality Innovation Manager</dc:creator>
  <cp:keywords/>
  <dc:description/>
  <cp:lastModifiedBy>Anyes Rodgers - Procurement Support Officer</cp:lastModifiedBy>
  <cp:revision>1</cp:revision>
  <dcterms:created xsi:type="dcterms:W3CDTF">2022-05-19T12:32:00Z</dcterms:created>
  <dcterms:modified xsi:type="dcterms:W3CDTF">2022-05-19T12:32:00Z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2021-11-23T08:55:20Z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429a3dc7-58b4-4194-a66e-0000f9f57505</vt:lpwstr>
  </property>
  <property fmtid="{D5CDD505-2E9C-101B-9397-08002B2CF9AE}" pid="8" name="MSIP_Label_39d8be9e-c8d9-4b9c-bd40-2c27cc7ea2e6_ContentBits">
    <vt:lpwstr>0</vt:lpwstr>
  </property>
</Properties>
</file>