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064DC" w14:textId="77777777" w:rsidR="005A5B6D" w:rsidRPr="00F75833" w:rsidRDefault="00FA24AF" w:rsidP="00FA24AF">
      <w:pPr>
        <w:spacing w:after="0" w:line="240" w:lineRule="auto"/>
        <w:rPr>
          <w:rFonts w:ascii="MetaNormal-Roman" w:hAnsi="MetaNormal-Roman"/>
          <w:b/>
          <w:bCs/>
          <w:sz w:val="32"/>
          <w:szCs w:val="32"/>
        </w:rPr>
      </w:pPr>
      <w:r w:rsidRPr="00F75833">
        <w:rPr>
          <w:rFonts w:ascii="MetaNormal-Roman" w:hAnsi="MetaNormal-Roman"/>
          <w:b/>
          <w:bCs/>
          <w:sz w:val="32"/>
          <w:szCs w:val="32"/>
        </w:rPr>
        <w:t>Supported Living Procurement FAQs</w:t>
      </w:r>
    </w:p>
    <w:tbl>
      <w:tblPr>
        <w:tblStyle w:val="TableGrid"/>
        <w:tblpPr w:leftFromText="180" w:rightFromText="180" w:horzAnchor="margin" w:tblpY="525"/>
        <w:tblW w:w="0" w:type="auto"/>
        <w:tblLook w:val="04A0" w:firstRow="1" w:lastRow="0" w:firstColumn="1" w:lastColumn="0" w:noHBand="0" w:noVBand="1"/>
      </w:tblPr>
      <w:tblGrid>
        <w:gridCol w:w="2972"/>
        <w:gridCol w:w="6044"/>
      </w:tblGrid>
      <w:tr w:rsidR="00FA24AF" w:rsidRPr="005D6237" w14:paraId="035FEE44" w14:textId="77777777" w:rsidTr="12C4F4B3">
        <w:tc>
          <w:tcPr>
            <w:tcW w:w="2972" w:type="dxa"/>
            <w:shd w:val="clear" w:color="auto" w:fill="D9D9D9" w:themeFill="background1" w:themeFillShade="D9"/>
          </w:tcPr>
          <w:p w14:paraId="3C352588" w14:textId="28B54420" w:rsidR="00FA24AF" w:rsidRPr="00F21A22" w:rsidRDefault="00F21A22" w:rsidP="00FA24AF">
            <w:pPr>
              <w:rPr>
                <w:rFonts w:ascii="MetaNormal-Roman" w:hAnsi="MetaNormal-Roman"/>
                <w:b/>
                <w:bCs/>
              </w:rPr>
            </w:pPr>
            <w:r w:rsidRPr="00F21A22">
              <w:rPr>
                <w:rFonts w:ascii="MetaNormal-Roman" w:hAnsi="MetaNormal-Roman"/>
                <w:b/>
                <w:bCs/>
              </w:rPr>
              <w:t>Question</w:t>
            </w:r>
          </w:p>
        </w:tc>
        <w:tc>
          <w:tcPr>
            <w:tcW w:w="6044" w:type="dxa"/>
            <w:shd w:val="clear" w:color="auto" w:fill="D9D9D9" w:themeFill="background1" w:themeFillShade="D9"/>
          </w:tcPr>
          <w:p w14:paraId="5DEDB5AF" w14:textId="1E279B89" w:rsidR="00FA24AF" w:rsidRPr="00F21A22" w:rsidRDefault="00F21A22" w:rsidP="00FA24AF">
            <w:pPr>
              <w:rPr>
                <w:rFonts w:ascii="MetaNormal-Roman" w:hAnsi="MetaNormal-Roman"/>
                <w:b/>
                <w:bCs/>
              </w:rPr>
            </w:pPr>
            <w:r w:rsidRPr="00F21A22">
              <w:rPr>
                <w:rFonts w:ascii="MetaNormal-Roman" w:hAnsi="MetaNormal-Roman"/>
                <w:b/>
                <w:bCs/>
              </w:rPr>
              <w:t>Response</w:t>
            </w:r>
          </w:p>
        </w:tc>
      </w:tr>
      <w:tr w:rsidR="00FA24AF" w:rsidRPr="005D6237" w14:paraId="423547A0" w14:textId="77777777" w:rsidTr="12C4F4B3">
        <w:trPr>
          <w:trHeight w:val="696"/>
        </w:trPr>
        <w:tc>
          <w:tcPr>
            <w:tcW w:w="2972" w:type="dxa"/>
          </w:tcPr>
          <w:p w14:paraId="12446B91" w14:textId="53D7C814" w:rsidR="00FA24AF" w:rsidRPr="005D6237" w:rsidRDefault="00FA24AF" w:rsidP="00FA24AF">
            <w:pPr>
              <w:rPr>
                <w:rFonts w:ascii="MetaNormal-Roman" w:hAnsi="MetaNormal-Roman"/>
              </w:rPr>
            </w:pPr>
            <w:r w:rsidRPr="005D6237">
              <w:rPr>
                <w:rFonts w:ascii="MetaNormal-Roman" w:hAnsi="MetaNormal-Roman"/>
              </w:rPr>
              <w:t>When will the tender be released?</w:t>
            </w:r>
          </w:p>
        </w:tc>
        <w:tc>
          <w:tcPr>
            <w:tcW w:w="6044" w:type="dxa"/>
          </w:tcPr>
          <w:p w14:paraId="65DF4A61" w14:textId="640796AF" w:rsidR="00FA24AF" w:rsidRPr="005D6237" w:rsidRDefault="002E41F4" w:rsidP="00FA24AF">
            <w:pPr>
              <w:rPr>
                <w:rFonts w:ascii="MetaNormal-Roman" w:hAnsi="MetaNormal-Roman"/>
              </w:rPr>
            </w:pPr>
            <w:r w:rsidRPr="005D6237">
              <w:rPr>
                <w:rFonts w:ascii="MetaNormal-Roman" w:hAnsi="MetaNormal-Roman"/>
              </w:rPr>
              <w:t>The tender documents will be released on 3</w:t>
            </w:r>
            <w:r w:rsidRPr="005D6237">
              <w:rPr>
                <w:rFonts w:ascii="MetaNormal-Roman" w:hAnsi="MetaNormal-Roman"/>
                <w:vertAlign w:val="superscript"/>
              </w:rPr>
              <w:t>rd</w:t>
            </w:r>
            <w:r w:rsidRPr="005D6237">
              <w:rPr>
                <w:rFonts w:ascii="MetaNormal-Roman" w:hAnsi="MetaNormal-Roman"/>
              </w:rPr>
              <w:t xml:space="preserve"> August 2020.</w:t>
            </w:r>
          </w:p>
        </w:tc>
      </w:tr>
      <w:tr w:rsidR="00FA24AF" w:rsidRPr="005D6237" w14:paraId="0ECDDBE3" w14:textId="77777777" w:rsidTr="12C4F4B3">
        <w:trPr>
          <w:trHeight w:val="1556"/>
        </w:trPr>
        <w:tc>
          <w:tcPr>
            <w:tcW w:w="2972" w:type="dxa"/>
          </w:tcPr>
          <w:p w14:paraId="11099D8B" w14:textId="204BB69F" w:rsidR="00FA24AF" w:rsidRPr="005D6237" w:rsidRDefault="00FA24AF" w:rsidP="00FA24AF">
            <w:pPr>
              <w:rPr>
                <w:rFonts w:ascii="MetaNormal-Roman" w:hAnsi="MetaNormal-Roman"/>
              </w:rPr>
            </w:pPr>
            <w:r w:rsidRPr="005D6237">
              <w:rPr>
                <w:rFonts w:ascii="MetaNormal-Roman" w:hAnsi="MetaNormal-Roman"/>
              </w:rPr>
              <w:t>How long will I have to put together my tender?</w:t>
            </w:r>
          </w:p>
        </w:tc>
        <w:tc>
          <w:tcPr>
            <w:tcW w:w="6044" w:type="dxa"/>
          </w:tcPr>
          <w:p w14:paraId="103A7787" w14:textId="4A614466" w:rsidR="00FA24AF" w:rsidRDefault="002E41F4" w:rsidP="00FA24AF">
            <w:pPr>
              <w:rPr>
                <w:rFonts w:ascii="MetaNormal-Roman" w:hAnsi="MetaNormal-Roman"/>
              </w:rPr>
            </w:pPr>
            <w:r w:rsidRPr="005D6237">
              <w:rPr>
                <w:rFonts w:ascii="MetaNormal-Roman" w:hAnsi="MetaNormal-Roman"/>
              </w:rPr>
              <w:t>Bidders will have 8 weeks to develop and submit their tenders.</w:t>
            </w:r>
          </w:p>
          <w:p w14:paraId="1089D7F2" w14:textId="77777777" w:rsidR="00F21A22" w:rsidRPr="005D6237" w:rsidRDefault="00F21A22" w:rsidP="00FA24AF">
            <w:pPr>
              <w:rPr>
                <w:rFonts w:ascii="MetaNormal-Roman" w:hAnsi="MetaNormal-Roman"/>
              </w:rPr>
            </w:pPr>
          </w:p>
          <w:p w14:paraId="38ED9DDC" w14:textId="3C512A9D" w:rsidR="002E41F4" w:rsidRPr="005D6237" w:rsidRDefault="002E41F4" w:rsidP="00FA24AF">
            <w:pPr>
              <w:rPr>
                <w:rFonts w:ascii="MetaNormal-Roman" w:hAnsi="MetaNormal-Roman"/>
              </w:rPr>
            </w:pPr>
            <w:r w:rsidRPr="005D6237">
              <w:rPr>
                <w:rFonts w:ascii="MetaNormal-Roman" w:hAnsi="MetaNormal-Roman"/>
              </w:rPr>
              <w:t>The deadline for tender returns is Friday 25</w:t>
            </w:r>
            <w:r w:rsidRPr="005D6237">
              <w:rPr>
                <w:rFonts w:ascii="MetaNormal-Roman" w:hAnsi="MetaNormal-Roman"/>
                <w:vertAlign w:val="superscript"/>
              </w:rPr>
              <w:t>th</w:t>
            </w:r>
            <w:r w:rsidRPr="005D6237">
              <w:rPr>
                <w:rFonts w:ascii="MetaNormal-Roman" w:hAnsi="MetaNormal-Roman"/>
              </w:rPr>
              <w:t xml:space="preserve"> September 2020 at 12pm.</w:t>
            </w:r>
          </w:p>
        </w:tc>
      </w:tr>
      <w:tr w:rsidR="00FA24AF" w:rsidRPr="005D6237" w14:paraId="174C8C74" w14:textId="77777777" w:rsidTr="12C4F4B3">
        <w:trPr>
          <w:trHeight w:val="3956"/>
        </w:trPr>
        <w:tc>
          <w:tcPr>
            <w:tcW w:w="2972" w:type="dxa"/>
          </w:tcPr>
          <w:p w14:paraId="0A795A93" w14:textId="42680D36" w:rsidR="00FA24AF" w:rsidRPr="005D6237" w:rsidRDefault="00FA24AF" w:rsidP="00FA24AF">
            <w:pPr>
              <w:rPr>
                <w:rFonts w:ascii="MetaNormal-Roman" w:hAnsi="MetaNormal-Roman"/>
              </w:rPr>
            </w:pPr>
            <w:r w:rsidRPr="005D6237">
              <w:rPr>
                <w:rFonts w:ascii="MetaNormal-Roman" w:hAnsi="MetaNormal-Roman"/>
              </w:rPr>
              <w:t>What will I be required to complete for the tender?</w:t>
            </w:r>
          </w:p>
        </w:tc>
        <w:tc>
          <w:tcPr>
            <w:tcW w:w="6044" w:type="dxa"/>
          </w:tcPr>
          <w:p w14:paraId="20A3F9C2" w14:textId="06230E37" w:rsidR="00FA24AF" w:rsidRPr="005D6237" w:rsidRDefault="002E41F4" w:rsidP="00FA24AF">
            <w:pPr>
              <w:rPr>
                <w:rFonts w:ascii="MetaNormal-Roman" w:hAnsi="MetaNormal-Roman"/>
              </w:rPr>
            </w:pPr>
            <w:r w:rsidRPr="005D6237">
              <w:rPr>
                <w:rFonts w:ascii="MetaNormal-Roman" w:hAnsi="MetaNormal-Roman"/>
              </w:rPr>
              <w:t>The tender documents to be completed by the bidders will consist of:</w:t>
            </w:r>
          </w:p>
          <w:p w14:paraId="27A4A0F9" w14:textId="77777777" w:rsidR="002E41F4" w:rsidRPr="005D6237" w:rsidRDefault="002E41F4" w:rsidP="00FA24AF">
            <w:pPr>
              <w:rPr>
                <w:rFonts w:ascii="MetaNormal-Roman" w:hAnsi="MetaNormal-Roman"/>
              </w:rPr>
            </w:pPr>
          </w:p>
          <w:p w14:paraId="394D6281" w14:textId="77777777" w:rsidR="002E41F4" w:rsidRPr="005D6237" w:rsidRDefault="002E41F4" w:rsidP="002E41F4">
            <w:pPr>
              <w:pStyle w:val="ListParagraph"/>
              <w:numPr>
                <w:ilvl w:val="0"/>
                <w:numId w:val="2"/>
              </w:numPr>
              <w:rPr>
                <w:rFonts w:ascii="MetaNormal-Roman" w:hAnsi="MetaNormal-Roman"/>
              </w:rPr>
            </w:pPr>
            <w:r w:rsidRPr="005D6237">
              <w:rPr>
                <w:rFonts w:ascii="MetaNormal-Roman" w:hAnsi="MetaNormal-Roman"/>
              </w:rPr>
              <w:t>Standard Selection Questionnaire (SSQ) Bidder Response Pack</w:t>
            </w:r>
          </w:p>
          <w:p w14:paraId="021CFF95" w14:textId="77777777" w:rsidR="002E41F4" w:rsidRPr="005D6237" w:rsidRDefault="002E41F4" w:rsidP="002E41F4">
            <w:pPr>
              <w:pStyle w:val="ListParagraph"/>
              <w:numPr>
                <w:ilvl w:val="0"/>
                <w:numId w:val="2"/>
              </w:numPr>
              <w:rPr>
                <w:rFonts w:ascii="MetaNormal-Roman" w:hAnsi="MetaNormal-Roman"/>
              </w:rPr>
            </w:pPr>
            <w:r w:rsidRPr="005D6237">
              <w:rPr>
                <w:rFonts w:ascii="MetaNormal-Roman" w:hAnsi="MetaNormal-Roman"/>
              </w:rPr>
              <w:t>Invitation to Tender Bidder Response Pack</w:t>
            </w:r>
          </w:p>
          <w:p w14:paraId="30EF132E" w14:textId="77777777" w:rsidR="002E41F4" w:rsidRPr="005D6237" w:rsidRDefault="002E41F4" w:rsidP="002E41F4">
            <w:pPr>
              <w:pStyle w:val="ListParagraph"/>
              <w:numPr>
                <w:ilvl w:val="0"/>
                <w:numId w:val="2"/>
              </w:numPr>
              <w:rPr>
                <w:rFonts w:ascii="MetaNormal-Roman" w:hAnsi="MetaNormal-Roman"/>
              </w:rPr>
            </w:pPr>
            <w:r w:rsidRPr="005D6237">
              <w:rPr>
                <w:rFonts w:ascii="MetaNormal-Roman" w:hAnsi="MetaNormal-Roman"/>
              </w:rPr>
              <w:t>Supported Living Scheme Form</w:t>
            </w:r>
          </w:p>
          <w:p w14:paraId="35DD4783" w14:textId="77777777" w:rsidR="002E41F4" w:rsidRPr="005D6237" w:rsidRDefault="002E41F4" w:rsidP="002E41F4">
            <w:pPr>
              <w:pStyle w:val="ListParagraph"/>
              <w:numPr>
                <w:ilvl w:val="0"/>
                <w:numId w:val="2"/>
              </w:numPr>
              <w:rPr>
                <w:rFonts w:ascii="MetaNormal-Roman" w:hAnsi="MetaNormal-Roman"/>
              </w:rPr>
            </w:pPr>
            <w:r w:rsidRPr="005D6237">
              <w:rPr>
                <w:rFonts w:ascii="MetaNormal-Roman" w:hAnsi="MetaNormal-Roman"/>
              </w:rPr>
              <w:t>Form of Tender Declaration</w:t>
            </w:r>
          </w:p>
          <w:p w14:paraId="326D2467" w14:textId="77777777" w:rsidR="002E41F4" w:rsidRPr="005D6237" w:rsidRDefault="002E41F4" w:rsidP="002E41F4">
            <w:pPr>
              <w:pStyle w:val="ListParagraph"/>
              <w:numPr>
                <w:ilvl w:val="0"/>
                <w:numId w:val="2"/>
              </w:numPr>
              <w:rPr>
                <w:rFonts w:ascii="MetaNormal-Roman" w:hAnsi="MetaNormal-Roman"/>
              </w:rPr>
            </w:pPr>
            <w:r w:rsidRPr="005D6237">
              <w:rPr>
                <w:rFonts w:ascii="MetaNormal-Roman" w:hAnsi="MetaNormal-Roman"/>
              </w:rPr>
              <w:t>ITT Freedom of Information Act</w:t>
            </w:r>
          </w:p>
          <w:p w14:paraId="3A398FCB" w14:textId="77777777" w:rsidR="00114893" w:rsidRPr="005D6237" w:rsidRDefault="00114893" w:rsidP="00114893">
            <w:pPr>
              <w:rPr>
                <w:rFonts w:ascii="MetaNormal-Roman" w:hAnsi="MetaNormal-Roman"/>
              </w:rPr>
            </w:pPr>
          </w:p>
          <w:p w14:paraId="6C947B56" w14:textId="640A34A7" w:rsidR="00114893" w:rsidRPr="005D6237" w:rsidRDefault="00114893" w:rsidP="00114893">
            <w:pPr>
              <w:rPr>
                <w:rFonts w:ascii="MetaNormal-Roman" w:hAnsi="MetaNormal-Roman"/>
              </w:rPr>
            </w:pPr>
            <w:r w:rsidRPr="005D6237">
              <w:rPr>
                <w:rFonts w:ascii="MetaNormal-Roman" w:hAnsi="MetaNormal-Roman"/>
              </w:rPr>
              <w:t>Each of these documents will explain the required information to be included by bidders and further information can be found within the Bidder Guidance document that will be published at the time of tender release.</w:t>
            </w:r>
          </w:p>
        </w:tc>
      </w:tr>
      <w:tr w:rsidR="00FA24AF" w:rsidRPr="005D6237" w14:paraId="0F7881A6" w14:textId="77777777" w:rsidTr="12C4F4B3">
        <w:trPr>
          <w:trHeight w:val="3248"/>
        </w:trPr>
        <w:tc>
          <w:tcPr>
            <w:tcW w:w="2972" w:type="dxa"/>
          </w:tcPr>
          <w:p w14:paraId="6EB4FB81" w14:textId="6FA3D012" w:rsidR="00FA24AF" w:rsidRPr="005D6237" w:rsidRDefault="00FA24AF" w:rsidP="00FA24AF">
            <w:pPr>
              <w:rPr>
                <w:rFonts w:ascii="MetaNormal-Roman" w:hAnsi="MetaNormal-Roman"/>
              </w:rPr>
            </w:pPr>
            <w:r w:rsidRPr="005D6237">
              <w:rPr>
                <w:rFonts w:ascii="MetaNormal-Roman" w:hAnsi="MetaNormal-Roman"/>
              </w:rPr>
              <w:t>What if I have questions during the tender period?</w:t>
            </w:r>
          </w:p>
        </w:tc>
        <w:tc>
          <w:tcPr>
            <w:tcW w:w="6044" w:type="dxa"/>
          </w:tcPr>
          <w:p w14:paraId="024AC352" w14:textId="481AC8C6" w:rsidR="00FA24AF" w:rsidRPr="005D6237" w:rsidRDefault="005D6237" w:rsidP="00FA24AF">
            <w:pPr>
              <w:rPr>
                <w:rFonts w:ascii="MetaNormal-Roman" w:hAnsi="MetaNormal-Roman"/>
              </w:rPr>
            </w:pPr>
            <w:r w:rsidRPr="005D6237">
              <w:rPr>
                <w:rFonts w:ascii="MetaNormal-Roman" w:hAnsi="MetaNormal-Roman"/>
              </w:rPr>
              <w:t>Clarification q</w:t>
            </w:r>
            <w:r w:rsidR="00114893" w:rsidRPr="005D6237">
              <w:rPr>
                <w:rFonts w:ascii="MetaNormal-Roman" w:hAnsi="MetaNormal-Roman"/>
              </w:rPr>
              <w:t>uestions can be raised with Essex County Council directly during the tender process through the message centre on the Proactis e-procurement portal.</w:t>
            </w:r>
          </w:p>
          <w:p w14:paraId="2180479E" w14:textId="77777777" w:rsidR="00114893" w:rsidRPr="005D6237" w:rsidRDefault="00114893" w:rsidP="00FA24AF">
            <w:pPr>
              <w:rPr>
                <w:rFonts w:ascii="MetaNormal-Roman" w:hAnsi="MetaNormal-Roman"/>
              </w:rPr>
            </w:pPr>
          </w:p>
          <w:p w14:paraId="636B9759" w14:textId="77777777" w:rsidR="00114893" w:rsidRPr="005D6237" w:rsidRDefault="00114893" w:rsidP="00FA24AF">
            <w:pPr>
              <w:rPr>
                <w:rFonts w:ascii="MetaNormal-Roman" w:hAnsi="MetaNormal-Roman"/>
              </w:rPr>
            </w:pPr>
            <w:r w:rsidRPr="005D6237">
              <w:rPr>
                <w:rFonts w:ascii="MetaNormal-Roman" w:hAnsi="MetaNormal-Roman"/>
              </w:rPr>
              <w:t xml:space="preserve">Only questions raised through this method will be answered by ECC during the tender period. </w:t>
            </w:r>
          </w:p>
          <w:p w14:paraId="02D2CD4D" w14:textId="77777777" w:rsidR="005D6237" w:rsidRPr="005D6237" w:rsidRDefault="005D6237" w:rsidP="00FA24AF">
            <w:pPr>
              <w:rPr>
                <w:rFonts w:ascii="MetaNormal-Roman" w:hAnsi="MetaNormal-Roman"/>
              </w:rPr>
            </w:pPr>
          </w:p>
          <w:p w14:paraId="30217B00" w14:textId="57C6037E" w:rsidR="005D6237" w:rsidRPr="005D6237" w:rsidRDefault="005D6237" w:rsidP="00FA24AF">
            <w:pPr>
              <w:rPr>
                <w:rFonts w:ascii="MetaNormal-Roman" w:hAnsi="MetaNormal-Roman"/>
              </w:rPr>
            </w:pPr>
            <w:r w:rsidRPr="005D6237">
              <w:rPr>
                <w:rFonts w:ascii="MetaNormal-Roman" w:hAnsi="MetaNormal-Roman"/>
              </w:rPr>
              <w:t xml:space="preserve">However, on receipt of any clarification questions ECC will publish the response to all bidders to ensure a fair spread of relevant information and no advantage to a provider asking the question. </w:t>
            </w:r>
          </w:p>
        </w:tc>
      </w:tr>
      <w:tr w:rsidR="00FA24AF" w:rsidRPr="005D6237" w14:paraId="6F06CC55" w14:textId="77777777" w:rsidTr="12C4F4B3">
        <w:tc>
          <w:tcPr>
            <w:tcW w:w="2972" w:type="dxa"/>
          </w:tcPr>
          <w:p w14:paraId="1D127E32" w14:textId="298A3836" w:rsidR="00FA24AF" w:rsidRPr="005D6237" w:rsidRDefault="00FA24AF" w:rsidP="00FA24AF">
            <w:pPr>
              <w:rPr>
                <w:rFonts w:ascii="MetaNormal-Roman" w:hAnsi="MetaNormal-Roman"/>
              </w:rPr>
            </w:pPr>
            <w:r w:rsidRPr="005D6237">
              <w:rPr>
                <w:rFonts w:ascii="MetaNormal-Roman" w:hAnsi="MetaNormal-Roman"/>
              </w:rPr>
              <w:t>Where will I be able to access the tender documents?</w:t>
            </w:r>
          </w:p>
        </w:tc>
        <w:tc>
          <w:tcPr>
            <w:tcW w:w="6044" w:type="dxa"/>
          </w:tcPr>
          <w:p w14:paraId="26F59C31" w14:textId="77777777" w:rsidR="00FA24AF" w:rsidRPr="005D6237" w:rsidRDefault="00114893" w:rsidP="00FA24AF">
            <w:pPr>
              <w:rPr>
                <w:rFonts w:ascii="MetaNormal-Roman" w:hAnsi="MetaNormal-Roman"/>
              </w:rPr>
            </w:pPr>
            <w:proofErr w:type="gramStart"/>
            <w:r w:rsidRPr="005D6237">
              <w:rPr>
                <w:rFonts w:ascii="MetaNormal-Roman" w:hAnsi="MetaNormal-Roman"/>
              </w:rPr>
              <w:t>All of</w:t>
            </w:r>
            <w:proofErr w:type="gramEnd"/>
            <w:r w:rsidRPr="005D6237">
              <w:rPr>
                <w:rFonts w:ascii="MetaNormal-Roman" w:hAnsi="MetaNormal-Roman"/>
              </w:rPr>
              <w:t xml:space="preserve"> the tender documents will be made available through the Proactis e-procurement tool. </w:t>
            </w:r>
          </w:p>
          <w:p w14:paraId="3AA5E939" w14:textId="77777777" w:rsidR="00114893" w:rsidRPr="005D6237" w:rsidRDefault="00114893" w:rsidP="00FA24AF">
            <w:pPr>
              <w:rPr>
                <w:rFonts w:ascii="MetaNormal-Roman" w:hAnsi="MetaNormal-Roman"/>
              </w:rPr>
            </w:pPr>
          </w:p>
          <w:p w14:paraId="6B3D4C91" w14:textId="77777777" w:rsidR="00114893" w:rsidRPr="005D6237" w:rsidRDefault="00114893" w:rsidP="00FA24AF">
            <w:pPr>
              <w:rPr>
                <w:rFonts w:ascii="MetaNormal-Roman" w:hAnsi="MetaNormal-Roman"/>
              </w:rPr>
            </w:pPr>
            <w:r w:rsidRPr="005D6237">
              <w:rPr>
                <w:rFonts w:ascii="MetaNormal-Roman" w:hAnsi="MetaNormal-Roman"/>
              </w:rPr>
              <w:t>A link directly to the e-procurement tool will be included in the Contract Notices that will be issued here:</w:t>
            </w:r>
          </w:p>
          <w:p w14:paraId="41A5A11C" w14:textId="77777777" w:rsidR="00114893" w:rsidRPr="005D6237" w:rsidRDefault="00114893" w:rsidP="00FA24AF">
            <w:pPr>
              <w:rPr>
                <w:rFonts w:ascii="MetaNormal-Roman" w:hAnsi="MetaNormal-Roman"/>
              </w:rPr>
            </w:pPr>
          </w:p>
          <w:p w14:paraId="538A9842" w14:textId="21879E4C" w:rsidR="00114893" w:rsidRPr="005D6237" w:rsidRDefault="00114893" w:rsidP="00FA24AF">
            <w:pPr>
              <w:rPr>
                <w:rFonts w:ascii="MetaNormal-Roman" w:hAnsi="MetaNormal-Roman"/>
              </w:rPr>
            </w:pPr>
            <w:r w:rsidRPr="005D6237">
              <w:rPr>
                <w:rFonts w:ascii="MetaNormal-Roman" w:hAnsi="MetaNormal-Roman"/>
              </w:rPr>
              <w:t xml:space="preserve">OJEU: </w:t>
            </w:r>
            <w:hyperlink r:id="rId10" w:history="1">
              <w:r w:rsidR="00584840" w:rsidRPr="005D6237">
                <w:rPr>
                  <w:rStyle w:val="Hyperlink"/>
                  <w:rFonts w:ascii="MetaNormal-Roman" w:hAnsi="MetaNormal-Roman"/>
                </w:rPr>
                <w:t>https://simap.ted.europa.eu/</w:t>
              </w:r>
            </w:hyperlink>
          </w:p>
          <w:p w14:paraId="43750BF4" w14:textId="7D9B13B8" w:rsidR="00114893" w:rsidRPr="005D6237" w:rsidRDefault="00114893" w:rsidP="00FA24AF">
            <w:pPr>
              <w:rPr>
                <w:rFonts w:ascii="MetaNormal-Roman" w:hAnsi="MetaNormal-Roman"/>
              </w:rPr>
            </w:pPr>
            <w:r w:rsidRPr="005D6237">
              <w:rPr>
                <w:rFonts w:ascii="MetaNormal-Roman" w:hAnsi="MetaNormal-Roman"/>
              </w:rPr>
              <w:t>Contracts Finder:</w:t>
            </w:r>
            <w:r w:rsidR="00584840" w:rsidRPr="005D6237">
              <w:rPr>
                <w:rFonts w:ascii="MetaNormal-Roman" w:hAnsi="MetaNormal-Roman"/>
              </w:rPr>
              <w:t xml:space="preserve"> </w:t>
            </w:r>
            <w:hyperlink r:id="rId11" w:history="1">
              <w:r w:rsidR="00584840" w:rsidRPr="005D6237">
                <w:rPr>
                  <w:rStyle w:val="Hyperlink"/>
                  <w:rFonts w:ascii="MetaNormal-Roman" w:hAnsi="MetaNormal-Roman"/>
                </w:rPr>
                <w:t>https://www.gov.uk/contracts-finder</w:t>
              </w:r>
            </w:hyperlink>
          </w:p>
          <w:p w14:paraId="682975F7" w14:textId="77777777" w:rsidR="00114893" w:rsidRPr="005D6237" w:rsidRDefault="00114893" w:rsidP="00FA24AF">
            <w:pPr>
              <w:rPr>
                <w:rFonts w:ascii="MetaNormal-Roman" w:hAnsi="MetaNormal-Roman"/>
              </w:rPr>
            </w:pPr>
          </w:p>
          <w:p w14:paraId="6980032D" w14:textId="069BA736" w:rsidR="00114893" w:rsidRPr="005D6237" w:rsidRDefault="00114893" w:rsidP="00FA24AF">
            <w:pPr>
              <w:rPr>
                <w:rFonts w:ascii="MetaNormal-Roman" w:hAnsi="MetaNormal-Roman"/>
              </w:rPr>
            </w:pPr>
            <w:r w:rsidRPr="005D6237">
              <w:rPr>
                <w:rFonts w:ascii="MetaNormal-Roman" w:hAnsi="MetaNormal-Roman"/>
              </w:rPr>
              <w:t xml:space="preserve">It will also be advertised on the ECC opportunities listing which can be viewed here: </w:t>
            </w:r>
            <w:hyperlink r:id="rId12" w:history="1">
              <w:r w:rsidR="00584840" w:rsidRPr="005D6237">
                <w:rPr>
                  <w:rStyle w:val="Hyperlink"/>
                  <w:rFonts w:ascii="MetaNormal-Roman" w:hAnsi="MetaNormal-Roman"/>
                </w:rPr>
                <w:t>https://www.essex.gov.uk/supply-the-council</w:t>
              </w:r>
            </w:hyperlink>
          </w:p>
        </w:tc>
      </w:tr>
      <w:tr w:rsidR="00F070CC" w:rsidRPr="005D6237" w14:paraId="66DEF33A" w14:textId="77777777" w:rsidTr="12C4F4B3">
        <w:trPr>
          <w:trHeight w:val="3818"/>
        </w:trPr>
        <w:tc>
          <w:tcPr>
            <w:tcW w:w="2972" w:type="dxa"/>
          </w:tcPr>
          <w:p w14:paraId="1368B44E" w14:textId="46E8E537" w:rsidR="00F070CC" w:rsidRPr="005D6237" w:rsidRDefault="00F070CC" w:rsidP="00FA24AF">
            <w:pPr>
              <w:rPr>
                <w:rFonts w:ascii="MetaNormal-Roman" w:hAnsi="MetaNormal-Roman"/>
              </w:rPr>
            </w:pPr>
            <w:r w:rsidRPr="005D6237">
              <w:rPr>
                <w:rFonts w:ascii="MetaNormal-Roman" w:hAnsi="MetaNormal-Roman"/>
              </w:rPr>
              <w:lastRenderedPageBreak/>
              <w:t>Why are there additional questions for complex provision?</w:t>
            </w:r>
          </w:p>
        </w:tc>
        <w:tc>
          <w:tcPr>
            <w:tcW w:w="6044" w:type="dxa"/>
          </w:tcPr>
          <w:p w14:paraId="56826FAB" w14:textId="77777777" w:rsidR="00F070CC" w:rsidRPr="005D6237" w:rsidRDefault="00584840" w:rsidP="00FA24AF">
            <w:pPr>
              <w:rPr>
                <w:rFonts w:ascii="MetaNormal-Roman" w:hAnsi="MetaNormal-Roman"/>
              </w:rPr>
            </w:pPr>
            <w:r w:rsidRPr="005D6237">
              <w:rPr>
                <w:rFonts w:ascii="MetaNormal-Roman" w:hAnsi="MetaNormal-Roman"/>
              </w:rPr>
              <w:t xml:space="preserve">ECC recognise that there are specialised skills and structures required in order to deliver high quality services to our most complex adults with learning disabilities and autism. </w:t>
            </w:r>
          </w:p>
          <w:p w14:paraId="3B8B7C5A" w14:textId="77777777" w:rsidR="00584840" w:rsidRPr="005D6237" w:rsidRDefault="00584840" w:rsidP="00FA24AF">
            <w:pPr>
              <w:rPr>
                <w:rFonts w:ascii="MetaNormal-Roman" w:hAnsi="MetaNormal-Roman"/>
              </w:rPr>
            </w:pPr>
          </w:p>
          <w:p w14:paraId="47B830CC" w14:textId="77777777" w:rsidR="00584840" w:rsidRPr="005D6237" w:rsidRDefault="00584840" w:rsidP="00FA24AF">
            <w:pPr>
              <w:rPr>
                <w:rFonts w:ascii="MetaNormal-Roman" w:hAnsi="MetaNormal-Roman"/>
              </w:rPr>
            </w:pPr>
            <w:r w:rsidRPr="005D6237">
              <w:rPr>
                <w:rFonts w:ascii="MetaNormal-Roman" w:hAnsi="MetaNormal-Roman"/>
              </w:rPr>
              <w:t>In order to differentiate the requirements, ECC has an enhanced complex rate that is paid above the standard hourly rate for supported living. Providers that wish to deliver services at these rates are required to demonstrate their capability to do so by answering the additional questions to allow ECC to assess their suitability.</w:t>
            </w:r>
          </w:p>
          <w:p w14:paraId="078203F8" w14:textId="77777777" w:rsidR="00A232F4" w:rsidRPr="005D6237" w:rsidRDefault="00A232F4" w:rsidP="00FA24AF">
            <w:pPr>
              <w:rPr>
                <w:rFonts w:ascii="MetaNormal-Roman" w:hAnsi="MetaNormal-Roman"/>
              </w:rPr>
            </w:pPr>
          </w:p>
          <w:p w14:paraId="32D9C172" w14:textId="7E199030" w:rsidR="00A232F4" w:rsidRPr="005D6237" w:rsidRDefault="00A232F4" w:rsidP="00FA24AF">
            <w:pPr>
              <w:rPr>
                <w:rFonts w:ascii="MetaNormal-Roman" w:hAnsi="MetaNormal-Roman"/>
              </w:rPr>
            </w:pPr>
            <w:r w:rsidRPr="005D6237">
              <w:rPr>
                <w:rFonts w:ascii="MetaNormal-Roman" w:hAnsi="MetaNormal-Roman"/>
              </w:rPr>
              <w:t>Providers that do not wish to provide services to enhanced complex adults are not required to complete the questions.</w:t>
            </w:r>
          </w:p>
        </w:tc>
      </w:tr>
      <w:tr w:rsidR="00F070CC" w:rsidRPr="005D6237" w14:paraId="573871D4" w14:textId="77777777" w:rsidTr="12C4F4B3">
        <w:trPr>
          <w:trHeight w:val="1560"/>
        </w:trPr>
        <w:tc>
          <w:tcPr>
            <w:tcW w:w="2972" w:type="dxa"/>
          </w:tcPr>
          <w:p w14:paraId="1AE51174" w14:textId="4C64B1D2" w:rsidR="00F070CC" w:rsidRPr="005D6237" w:rsidRDefault="00F070CC" w:rsidP="00FA24AF">
            <w:pPr>
              <w:rPr>
                <w:rFonts w:ascii="MetaNormal-Roman" w:hAnsi="MetaNormal-Roman"/>
              </w:rPr>
            </w:pPr>
            <w:r w:rsidRPr="005D6237">
              <w:rPr>
                <w:rFonts w:ascii="MetaNormal-Roman" w:hAnsi="MetaNormal-Roman"/>
              </w:rPr>
              <w:t>What if I am having difficulty in accessing the documents and submitting them?</w:t>
            </w:r>
          </w:p>
        </w:tc>
        <w:tc>
          <w:tcPr>
            <w:tcW w:w="6044" w:type="dxa"/>
          </w:tcPr>
          <w:p w14:paraId="60DB46D0" w14:textId="18FE6AAD" w:rsidR="00F070CC" w:rsidRPr="005D6237" w:rsidRDefault="00A232F4" w:rsidP="00FA24AF">
            <w:pPr>
              <w:rPr>
                <w:rFonts w:ascii="MetaNormal-Roman" w:hAnsi="MetaNormal-Roman"/>
              </w:rPr>
            </w:pPr>
            <w:r w:rsidRPr="005D6237">
              <w:rPr>
                <w:rFonts w:ascii="MetaNormal-Roman" w:hAnsi="MetaNormal-Roman"/>
              </w:rPr>
              <w:t>Should you have difficulty in accessing the documents through the e-procurement tool you should contact ECC directly by phone or email to discuss. Contact details will be provided at the end of this document.</w:t>
            </w:r>
          </w:p>
        </w:tc>
      </w:tr>
      <w:tr w:rsidR="00FA24AF" w:rsidRPr="005D6237" w14:paraId="61B4E65C" w14:textId="77777777" w:rsidTr="12C4F4B3">
        <w:trPr>
          <w:trHeight w:val="973"/>
        </w:trPr>
        <w:tc>
          <w:tcPr>
            <w:tcW w:w="2972" w:type="dxa"/>
          </w:tcPr>
          <w:p w14:paraId="72D9C3CC" w14:textId="05C14E95" w:rsidR="00FA24AF" w:rsidRPr="005D6237" w:rsidRDefault="00FA24AF" w:rsidP="00FA24AF">
            <w:pPr>
              <w:rPr>
                <w:rFonts w:ascii="MetaNormal-Roman" w:hAnsi="MetaNormal-Roman"/>
              </w:rPr>
            </w:pPr>
            <w:r w:rsidRPr="005D6237">
              <w:rPr>
                <w:rFonts w:ascii="MetaNormal-Roman" w:hAnsi="MetaNormal-Roman"/>
              </w:rPr>
              <w:t>Is the tender open to everybody to apply for?</w:t>
            </w:r>
          </w:p>
        </w:tc>
        <w:tc>
          <w:tcPr>
            <w:tcW w:w="6044" w:type="dxa"/>
          </w:tcPr>
          <w:p w14:paraId="2739711B" w14:textId="6E7AB488" w:rsidR="00FA24AF" w:rsidRPr="005D6237" w:rsidRDefault="00A232F4" w:rsidP="00FA24AF">
            <w:pPr>
              <w:rPr>
                <w:rFonts w:ascii="MetaNormal-Roman" w:hAnsi="MetaNormal-Roman"/>
              </w:rPr>
            </w:pPr>
            <w:r w:rsidRPr="005D6237">
              <w:rPr>
                <w:rFonts w:ascii="MetaNormal-Roman" w:hAnsi="MetaNormal-Roman"/>
              </w:rPr>
              <w:t>Yes, the tender is open to all providers whether they have existing contracts with Essex County Council or not.</w:t>
            </w:r>
          </w:p>
        </w:tc>
      </w:tr>
      <w:tr w:rsidR="00FA24AF" w:rsidRPr="005D6237" w14:paraId="48E2A0FE" w14:textId="77777777" w:rsidTr="12C4F4B3">
        <w:trPr>
          <w:trHeight w:val="2405"/>
        </w:trPr>
        <w:tc>
          <w:tcPr>
            <w:tcW w:w="2972" w:type="dxa"/>
          </w:tcPr>
          <w:p w14:paraId="753FBE19" w14:textId="24D50CE6" w:rsidR="00FA24AF" w:rsidRPr="005D6237" w:rsidRDefault="00F070CC" w:rsidP="00FA24AF">
            <w:pPr>
              <w:rPr>
                <w:rFonts w:ascii="MetaNormal-Roman" w:hAnsi="MetaNormal-Roman"/>
              </w:rPr>
            </w:pPr>
            <w:r w:rsidRPr="005D6237">
              <w:rPr>
                <w:rFonts w:ascii="MetaNormal-Roman" w:hAnsi="MetaNormal-Roman"/>
              </w:rPr>
              <w:t>What if I miss the deadline? Can I ask for an extension?</w:t>
            </w:r>
          </w:p>
        </w:tc>
        <w:tc>
          <w:tcPr>
            <w:tcW w:w="6044" w:type="dxa"/>
          </w:tcPr>
          <w:p w14:paraId="05B849EB" w14:textId="025648BD" w:rsidR="00FA24AF" w:rsidRPr="005D6237" w:rsidRDefault="00A232F4" w:rsidP="00FA24AF">
            <w:pPr>
              <w:rPr>
                <w:rFonts w:ascii="MetaNormal-Roman" w:hAnsi="MetaNormal-Roman"/>
              </w:rPr>
            </w:pPr>
            <w:r w:rsidRPr="005D6237">
              <w:rPr>
                <w:rFonts w:ascii="MetaNormal-Roman" w:hAnsi="MetaNormal-Roman"/>
              </w:rPr>
              <w:t xml:space="preserve">In certain </w:t>
            </w:r>
            <w:r w:rsidR="00F75833" w:rsidRPr="005D6237">
              <w:rPr>
                <w:rFonts w:ascii="MetaNormal-Roman" w:hAnsi="MetaNormal-Roman"/>
              </w:rPr>
              <w:t>situations,</w:t>
            </w:r>
            <w:r w:rsidRPr="005D6237">
              <w:rPr>
                <w:rFonts w:ascii="MetaNormal-Roman" w:hAnsi="MetaNormal-Roman"/>
              </w:rPr>
              <w:t xml:space="preserve"> an extension can be requested to a tender period, however, the threshold for this being permitted is very high. </w:t>
            </w:r>
          </w:p>
          <w:p w14:paraId="1A1E728F" w14:textId="77777777" w:rsidR="00A232F4" w:rsidRPr="005D6237" w:rsidRDefault="00A232F4" w:rsidP="00FA24AF">
            <w:pPr>
              <w:rPr>
                <w:rFonts w:ascii="MetaNormal-Roman" w:hAnsi="MetaNormal-Roman"/>
              </w:rPr>
            </w:pPr>
          </w:p>
          <w:p w14:paraId="296CAAD6" w14:textId="3714538D" w:rsidR="00A232F4" w:rsidRPr="005D6237" w:rsidRDefault="00A232F4" w:rsidP="00FA24AF">
            <w:pPr>
              <w:rPr>
                <w:rFonts w:ascii="MetaNormal-Roman" w:hAnsi="MetaNormal-Roman"/>
              </w:rPr>
            </w:pPr>
            <w:r w:rsidRPr="005D6237">
              <w:rPr>
                <w:rFonts w:ascii="MetaNormal-Roman" w:hAnsi="MetaNormal-Roman"/>
              </w:rPr>
              <w:t xml:space="preserve">If you miss the deadline through your own fault the tender period will not be extended. All bidders are encouraged to complete and upload their tender responses well in advance of the deadline to ensure no </w:t>
            </w:r>
            <w:proofErr w:type="gramStart"/>
            <w:r w:rsidRPr="005D6237">
              <w:rPr>
                <w:rFonts w:ascii="MetaNormal-Roman" w:hAnsi="MetaNormal-Roman"/>
              </w:rPr>
              <w:t>last minute</w:t>
            </w:r>
            <w:proofErr w:type="gramEnd"/>
            <w:r w:rsidRPr="005D6237">
              <w:rPr>
                <w:rFonts w:ascii="MetaNormal-Roman" w:hAnsi="MetaNormal-Roman"/>
              </w:rPr>
              <w:t xml:space="preserve"> issues.</w:t>
            </w:r>
          </w:p>
        </w:tc>
      </w:tr>
      <w:tr w:rsidR="00F070CC" w:rsidRPr="005D6237" w14:paraId="76BCDCA7" w14:textId="77777777" w:rsidTr="12C4F4B3">
        <w:trPr>
          <w:trHeight w:val="2117"/>
        </w:trPr>
        <w:tc>
          <w:tcPr>
            <w:tcW w:w="2972" w:type="dxa"/>
          </w:tcPr>
          <w:p w14:paraId="7C7070D7" w14:textId="6ACE813B" w:rsidR="00F070CC" w:rsidRPr="005D6237" w:rsidRDefault="00F070CC" w:rsidP="00FA24AF">
            <w:pPr>
              <w:rPr>
                <w:rFonts w:ascii="MetaNormal-Roman" w:hAnsi="MetaNormal-Roman"/>
              </w:rPr>
            </w:pPr>
            <w:r w:rsidRPr="005D6237">
              <w:rPr>
                <w:rFonts w:ascii="MetaNormal-Roman" w:hAnsi="MetaNormal-Roman"/>
              </w:rPr>
              <w:t>How will my bid be assessed and scored?</w:t>
            </w:r>
          </w:p>
        </w:tc>
        <w:tc>
          <w:tcPr>
            <w:tcW w:w="6044" w:type="dxa"/>
          </w:tcPr>
          <w:p w14:paraId="6CA332CB" w14:textId="77777777" w:rsidR="00F070CC" w:rsidRPr="005D6237" w:rsidRDefault="00A232F4" w:rsidP="00FA24AF">
            <w:pPr>
              <w:rPr>
                <w:rFonts w:ascii="MetaNormal-Roman" w:hAnsi="MetaNormal-Roman"/>
              </w:rPr>
            </w:pPr>
            <w:r w:rsidRPr="005D6237">
              <w:rPr>
                <w:rFonts w:ascii="MetaNormal-Roman" w:hAnsi="MetaNormal-Roman"/>
              </w:rPr>
              <w:t>All bids are assessed and scored by a dedicated evaluation panel assigned to the project.</w:t>
            </w:r>
          </w:p>
          <w:p w14:paraId="00E2A8AB" w14:textId="77777777" w:rsidR="00A232F4" w:rsidRPr="005D6237" w:rsidRDefault="00A232F4" w:rsidP="00FA24AF">
            <w:pPr>
              <w:rPr>
                <w:rFonts w:ascii="MetaNormal-Roman" w:hAnsi="MetaNormal-Roman"/>
              </w:rPr>
            </w:pPr>
          </w:p>
          <w:p w14:paraId="188B6C6B" w14:textId="77777777" w:rsidR="00A232F4" w:rsidRPr="005D6237" w:rsidRDefault="00A232F4" w:rsidP="00FA24AF">
            <w:pPr>
              <w:rPr>
                <w:rFonts w:ascii="MetaNormal-Roman" w:hAnsi="MetaNormal-Roman"/>
              </w:rPr>
            </w:pPr>
            <w:r w:rsidRPr="005D6237">
              <w:rPr>
                <w:rFonts w:ascii="MetaNormal-Roman" w:hAnsi="MetaNormal-Roman"/>
              </w:rPr>
              <w:t xml:space="preserve">The evaluation criteria for every scored question is outlined clearly within the relevant </w:t>
            </w:r>
            <w:r w:rsidR="000D65FF" w:rsidRPr="005D6237">
              <w:rPr>
                <w:rFonts w:ascii="MetaNormal-Roman" w:hAnsi="MetaNormal-Roman"/>
              </w:rPr>
              <w:t>document and</w:t>
            </w:r>
            <w:r w:rsidRPr="005D6237">
              <w:rPr>
                <w:rFonts w:ascii="MetaNormal-Roman" w:hAnsi="MetaNormal-Roman"/>
              </w:rPr>
              <w:t xml:space="preserve"> scored questions can be found within both the Standard Selection Questionnaire Bidder Response Pack and the Invitation to Tender Bidder Response Pack.</w:t>
            </w:r>
          </w:p>
          <w:p w14:paraId="00DFBD6C" w14:textId="77777777" w:rsidR="000D65FF" w:rsidRPr="005D6237" w:rsidRDefault="000D65FF" w:rsidP="00FA24AF">
            <w:pPr>
              <w:rPr>
                <w:rFonts w:ascii="MetaNormal-Roman" w:hAnsi="MetaNormal-Roman"/>
              </w:rPr>
            </w:pPr>
          </w:p>
          <w:p w14:paraId="284B3A63" w14:textId="77777777" w:rsidR="000D65FF" w:rsidRPr="005D6237" w:rsidRDefault="000D65FF" w:rsidP="00FA24AF">
            <w:pPr>
              <w:rPr>
                <w:rFonts w:ascii="MetaNormal-Roman" w:hAnsi="MetaNormal-Roman"/>
              </w:rPr>
            </w:pPr>
            <w:r w:rsidRPr="005D6237">
              <w:rPr>
                <w:rFonts w:ascii="MetaNormal-Roman" w:hAnsi="MetaNormal-Roman"/>
              </w:rPr>
              <w:t>The scoring methodology used by bidders is included throughout the tender documents and in the Bidder Guidance.</w:t>
            </w:r>
          </w:p>
          <w:p w14:paraId="7F5F5850" w14:textId="77777777" w:rsidR="000D65FF" w:rsidRPr="005D6237" w:rsidRDefault="000D65FF" w:rsidP="00FA24AF">
            <w:pPr>
              <w:rPr>
                <w:rFonts w:ascii="MetaNormal-Roman" w:hAnsi="MetaNormal-Roman"/>
              </w:rPr>
            </w:pPr>
          </w:p>
          <w:p w14:paraId="00A5E132" w14:textId="48850CCB" w:rsidR="000D65FF" w:rsidRPr="005D6237" w:rsidRDefault="000D65FF" w:rsidP="00FA24AF">
            <w:pPr>
              <w:rPr>
                <w:rFonts w:ascii="MetaNormal-Roman" w:hAnsi="MetaNormal-Roman"/>
              </w:rPr>
            </w:pPr>
            <w:r w:rsidRPr="005D6237">
              <w:rPr>
                <w:rFonts w:ascii="MetaNormal-Roman" w:hAnsi="MetaNormal-Roman"/>
              </w:rPr>
              <w:t xml:space="preserve">Each evaluator will score the questions that they are responsible for, with a multiple evaluators per question. This is then </w:t>
            </w:r>
            <w:r w:rsidR="00F75833" w:rsidRPr="005D6237">
              <w:rPr>
                <w:rFonts w:ascii="MetaNormal-Roman" w:hAnsi="MetaNormal-Roman"/>
              </w:rPr>
              <w:t>collated,</w:t>
            </w:r>
            <w:r w:rsidRPr="005D6237">
              <w:rPr>
                <w:rFonts w:ascii="MetaNormal-Roman" w:hAnsi="MetaNormal-Roman"/>
              </w:rPr>
              <w:t xml:space="preserve"> and a consensus meeting is held which discusses each </w:t>
            </w:r>
            <w:proofErr w:type="gramStart"/>
            <w:r w:rsidRPr="005D6237">
              <w:rPr>
                <w:rFonts w:ascii="MetaNormal-Roman" w:hAnsi="MetaNormal-Roman"/>
              </w:rPr>
              <w:t>bidders</w:t>
            </w:r>
            <w:proofErr w:type="gramEnd"/>
            <w:r w:rsidRPr="005D6237">
              <w:rPr>
                <w:rFonts w:ascii="MetaNormal-Roman" w:hAnsi="MetaNormal-Roman"/>
              </w:rPr>
              <w:t xml:space="preserve"> response to the question and a final score is agreed in every instance.</w:t>
            </w:r>
          </w:p>
        </w:tc>
      </w:tr>
      <w:tr w:rsidR="00F070CC" w:rsidRPr="005D6237" w14:paraId="1C234D49" w14:textId="77777777" w:rsidTr="12C4F4B3">
        <w:trPr>
          <w:trHeight w:val="1975"/>
        </w:trPr>
        <w:tc>
          <w:tcPr>
            <w:tcW w:w="2972" w:type="dxa"/>
          </w:tcPr>
          <w:p w14:paraId="7C705841" w14:textId="5F2A7C25" w:rsidR="00F070CC" w:rsidRPr="005D6237" w:rsidRDefault="00F070CC" w:rsidP="00FA24AF">
            <w:pPr>
              <w:rPr>
                <w:rFonts w:ascii="MetaNormal-Roman" w:hAnsi="MetaNormal-Roman"/>
              </w:rPr>
            </w:pPr>
            <w:r w:rsidRPr="005D6237">
              <w:rPr>
                <w:rFonts w:ascii="MetaNormal-Roman" w:hAnsi="MetaNormal-Roman"/>
              </w:rPr>
              <w:lastRenderedPageBreak/>
              <w:t>How will you tell me whether I have been successful or not?</w:t>
            </w:r>
          </w:p>
        </w:tc>
        <w:tc>
          <w:tcPr>
            <w:tcW w:w="6044" w:type="dxa"/>
          </w:tcPr>
          <w:p w14:paraId="6380474C" w14:textId="77777777" w:rsidR="00F070CC" w:rsidRPr="005D6237" w:rsidRDefault="000D65FF" w:rsidP="00FA24AF">
            <w:pPr>
              <w:rPr>
                <w:rFonts w:ascii="MetaNormal-Roman" w:hAnsi="MetaNormal-Roman"/>
              </w:rPr>
            </w:pPr>
            <w:r w:rsidRPr="005D6237">
              <w:rPr>
                <w:rFonts w:ascii="MetaNormal-Roman" w:hAnsi="MetaNormal-Roman"/>
              </w:rPr>
              <w:t>All bidders will receive a letter from Essex County Council confirming the outcome of their bid</w:t>
            </w:r>
            <w:r w:rsidR="00CB544B" w:rsidRPr="005D6237">
              <w:rPr>
                <w:rFonts w:ascii="MetaNormal-Roman" w:hAnsi="MetaNormal-Roman"/>
              </w:rPr>
              <w:t>.</w:t>
            </w:r>
          </w:p>
          <w:p w14:paraId="5CEB699B" w14:textId="77777777" w:rsidR="00CB544B" w:rsidRPr="005D6237" w:rsidRDefault="00CB544B" w:rsidP="00FA24AF">
            <w:pPr>
              <w:rPr>
                <w:rFonts w:ascii="MetaNormal-Roman" w:hAnsi="MetaNormal-Roman"/>
              </w:rPr>
            </w:pPr>
          </w:p>
          <w:p w14:paraId="7CF69E49" w14:textId="078FC43A" w:rsidR="00CB544B" w:rsidRPr="005D6237" w:rsidRDefault="00CB544B" w:rsidP="00FA24AF">
            <w:pPr>
              <w:rPr>
                <w:rFonts w:ascii="MetaNormal-Roman" w:hAnsi="MetaNormal-Roman"/>
              </w:rPr>
            </w:pPr>
            <w:r w:rsidRPr="005D6237">
              <w:rPr>
                <w:rFonts w:ascii="MetaNormal-Roman" w:hAnsi="MetaNormal-Roman"/>
              </w:rPr>
              <w:t>This will be issued directly to all bidders via the e-procurement portal and will detail scores awarded in response to the assessed questions, and the reasoning behind them.</w:t>
            </w:r>
          </w:p>
        </w:tc>
      </w:tr>
      <w:tr w:rsidR="00F070CC" w:rsidRPr="005D6237" w14:paraId="7FAF0C35" w14:textId="77777777" w:rsidTr="12C4F4B3">
        <w:trPr>
          <w:trHeight w:val="2682"/>
        </w:trPr>
        <w:tc>
          <w:tcPr>
            <w:tcW w:w="2972" w:type="dxa"/>
          </w:tcPr>
          <w:p w14:paraId="3BF376C0" w14:textId="0A1017E9" w:rsidR="00F070CC" w:rsidRPr="005D6237" w:rsidRDefault="00F070CC" w:rsidP="00FA24AF">
            <w:pPr>
              <w:rPr>
                <w:rFonts w:ascii="MetaNormal-Roman" w:hAnsi="MetaNormal-Roman"/>
              </w:rPr>
            </w:pPr>
            <w:r w:rsidRPr="005D6237">
              <w:rPr>
                <w:rFonts w:ascii="MetaNormal-Roman" w:hAnsi="MetaNormal-Roman"/>
              </w:rPr>
              <w:t>What other documents are included at the time of tender?</w:t>
            </w:r>
          </w:p>
        </w:tc>
        <w:tc>
          <w:tcPr>
            <w:tcW w:w="6044" w:type="dxa"/>
          </w:tcPr>
          <w:p w14:paraId="716E4FC8" w14:textId="06D8AD3C" w:rsidR="00F070CC" w:rsidRPr="005D6237" w:rsidRDefault="00CB544B" w:rsidP="00FA24AF">
            <w:pPr>
              <w:rPr>
                <w:rFonts w:ascii="MetaNormal-Roman" w:hAnsi="MetaNormal-Roman"/>
              </w:rPr>
            </w:pPr>
            <w:r w:rsidRPr="005D6237">
              <w:rPr>
                <w:rFonts w:ascii="MetaNormal-Roman" w:hAnsi="MetaNormal-Roman"/>
              </w:rPr>
              <w:t xml:space="preserve">At the time of tender ECC will issue </w:t>
            </w:r>
            <w:proofErr w:type="gramStart"/>
            <w:r w:rsidRPr="005D6237">
              <w:rPr>
                <w:rFonts w:ascii="MetaNormal-Roman" w:hAnsi="MetaNormal-Roman"/>
              </w:rPr>
              <w:t>all of</w:t>
            </w:r>
            <w:proofErr w:type="gramEnd"/>
            <w:r w:rsidRPr="005D6237">
              <w:rPr>
                <w:rFonts w:ascii="MetaNormal-Roman" w:hAnsi="MetaNormal-Roman"/>
              </w:rPr>
              <w:t xml:space="preserve"> the tender documentation already listed within this </w:t>
            </w:r>
            <w:r w:rsidR="00F75833" w:rsidRPr="005D6237">
              <w:rPr>
                <w:rFonts w:ascii="MetaNormal-Roman" w:hAnsi="MetaNormal-Roman"/>
              </w:rPr>
              <w:t>FAQ and</w:t>
            </w:r>
            <w:r w:rsidRPr="005D6237">
              <w:rPr>
                <w:rFonts w:ascii="MetaNormal-Roman" w:hAnsi="MetaNormal-Roman"/>
              </w:rPr>
              <w:t xml:space="preserve"> will also issue the contract documentation that will be applicable.</w:t>
            </w:r>
          </w:p>
          <w:p w14:paraId="47197BAD" w14:textId="77777777" w:rsidR="00CB544B" w:rsidRPr="005D6237" w:rsidRDefault="00CB544B" w:rsidP="00FA24AF">
            <w:pPr>
              <w:rPr>
                <w:rFonts w:ascii="MetaNormal-Roman" w:hAnsi="MetaNormal-Roman"/>
              </w:rPr>
            </w:pPr>
          </w:p>
          <w:p w14:paraId="061F73ED" w14:textId="0A5F2D04" w:rsidR="00CB544B" w:rsidRPr="005D6237" w:rsidRDefault="00CB544B" w:rsidP="00FA24AF">
            <w:pPr>
              <w:rPr>
                <w:rFonts w:ascii="MetaNormal-Roman" w:hAnsi="MetaNormal-Roman"/>
              </w:rPr>
            </w:pPr>
            <w:r w:rsidRPr="005D6237">
              <w:rPr>
                <w:rFonts w:ascii="MetaNormal-Roman" w:hAnsi="MetaNormal-Roman"/>
              </w:rPr>
              <w:t xml:space="preserve">During the period of the tender bidders must ensure they read the contract documentation included because this will be the contract that is issued and signed post-tender. </w:t>
            </w:r>
            <w:r w:rsidR="005D6237" w:rsidRPr="005D6237">
              <w:rPr>
                <w:rFonts w:ascii="MetaNormal-Roman" w:hAnsi="MetaNormal-Roman"/>
              </w:rPr>
              <w:t>Any request to change this document must be made during the tender period.</w:t>
            </w:r>
            <w:r w:rsidRPr="005D6237">
              <w:rPr>
                <w:rFonts w:ascii="MetaNormal-Roman" w:hAnsi="MetaNormal-Roman"/>
              </w:rPr>
              <w:t xml:space="preserve"> </w:t>
            </w:r>
          </w:p>
        </w:tc>
      </w:tr>
      <w:tr w:rsidR="00F070CC" w:rsidRPr="005D6237" w14:paraId="55E93A3D" w14:textId="77777777" w:rsidTr="12C4F4B3">
        <w:trPr>
          <w:trHeight w:val="836"/>
        </w:trPr>
        <w:tc>
          <w:tcPr>
            <w:tcW w:w="2972" w:type="dxa"/>
          </w:tcPr>
          <w:p w14:paraId="334FD85E" w14:textId="4DDEB1E8" w:rsidR="00F070CC" w:rsidRPr="005D6237" w:rsidRDefault="00F070CC" w:rsidP="00FA24AF">
            <w:pPr>
              <w:rPr>
                <w:rFonts w:ascii="MetaNormal-Roman" w:hAnsi="MetaNormal-Roman"/>
              </w:rPr>
            </w:pPr>
            <w:r w:rsidRPr="005D6237">
              <w:rPr>
                <w:rFonts w:ascii="MetaNormal-Roman" w:hAnsi="MetaNormal-Roman"/>
              </w:rPr>
              <w:t>How long is the framework contract?</w:t>
            </w:r>
          </w:p>
        </w:tc>
        <w:tc>
          <w:tcPr>
            <w:tcW w:w="6044" w:type="dxa"/>
          </w:tcPr>
          <w:p w14:paraId="192C5C9A" w14:textId="3E1E70C1" w:rsidR="00F070CC" w:rsidRPr="005D6237" w:rsidRDefault="005D6237" w:rsidP="00FA24AF">
            <w:pPr>
              <w:rPr>
                <w:rFonts w:ascii="MetaNormal-Roman" w:hAnsi="MetaNormal-Roman"/>
              </w:rPr>
            </w:pPr>
            <w:r>
              <w:rPr>
                <w:rFonts w:ascii="MetaNormal-Roman" w:hAnsi="MetaNormal-Roman"/>
              </w:rPr>
              <w:t>The Supported Living Framework will be in place for 4 years from the date of commencement.</w:t>
            </w:r>
          </w:p>
        </w:tc>
      </w:tr>
      <w:tr w:rsidR="00F070CC" w:rsidRPr="005D6237" w14:paraId="08F30A0D" w14:textId="77777777" w:rsidTr="12C4F4B3">
        <w:trPr>
          <w:trHeight w:val="2124"/>
        </w:trPr>
        <w:tc>
          <w:tcPr>
            <w:tcW w:w="2972" w:type="dxa"/>
          </w:tcPr>
          <w:p w14:paraId="4829175B" w14:textId="20721375" w:rsidR="00F070CC" w:rsidRPr="005D6237" w:rsidRDefault="00F070CC" w:rsidP="00FA24AF">
            <w:pPr>
              <w:rPr>
                <w:rFonts w:ascii="MetaNormal-Roman" w:hAnsi="MetaNormal-Roman"/>
              </w:rPr>
            </w:pPr>
            <w:r w:rsidRPr="005D6237">
              <w:rPr>
                <w:rFonts w:ascii="MetaNormal-Roman" w:hAnsi="MetaNormal-Roman"/>
              </w:rPr>
              <w:t>How will we receive referrals?</w:t>
            </w:r>
          </w:p>
        </w:tc>
        <w:tc>
          <w:tcPr>
            <w:tcW w:w="6044" w:type="dxa"/>
          </w:tcPr>
          <w:p w14:paraId="5C200D75" w14:textId="13DB3F55" w:rsidR="00F070CC" w:rsidRDefault="005D6237" w:rsidP="00FA24AF">
            <w:pPr>
              <w:rPr>
                <w:rFonts w:ascii="MetaNormal-Roman" w:hAnsi="MetaNormal-Roman"/>
              </w:rPr>
            </w:pPr>
            <w:r>
              <w:rPr>
                <w:rFonts w:ascii="MetaNormal-Roman" w:hAnsi="MetaNormal-Roman"/>
              </w:rPr>
              <w:t xml:space="preserve">Referrals will be made to providers on the framework </w:t>
            </w:r>
            <w:r w:rsidR="00F75833">
              <w:rPr>
                <w:rFonts w:ascii="MetaNormal-Roman" w:hAnsi="MetaNormal-Roman"/>
              </w:rPr>
              <w:t>only and</w:t>
            </w:r>
            <w:r>
              <w:rPr>
                <w:rFonts w:ascii="MetaNormal-Roman" w:hAnsi="MetaNormal-Roman"/>
              </w:rPr>
              <w:t xml:space="preserve"> will follow the defined placement process that is included within the contract documentation.</w:t>
            </w:r>
          </w:p>
          <w:p w14:paraId="3EFAC195" w14:textId="77777777" w:rsidR="005D6237" w:rsidRDefault="005D6237" w:rsidP="00FA24AF">
            <w:pPr>
              <w:rPr>
                <w:rFonts w:ascii="MetaNormal-Roman" w:hAnsi="MetaNormal-Roman"/>
              </w:rPr>
            </w:pPr>
          </w:p>
          <w:p w14:paraId="6B71D486" w14:textId="2E8028AA" w:rsidR="005D6237" w:rsidRPr="005D6237" w:rsidRDefault="005D6237" w:rsidP="00FA24AF">
            <w:pPr>
              <w:rPr>
                <w:rFonts w:ascii="MetaNormal-Roman" w:hAnsi="MetaNormal-Roman"/>
              </w:rPr>
            </w:pPr>
            <w:r>
              <w:rPr>
                <w:rFonts w:ascii="MetaNormal-Roman" w:hAnsi="MetaNormal-Roman"/>
              </w:rPr>
              <w:t xml:space="preserve">Adults will be matched to all available accommodation in the area within which they wish to </w:t>
            </w:r>
            <w:r w:rsidR="00F75833">
              <w:rPr>
                <w:rFonts w:ascii="MetaNormal-Roman" w:hAnsi="MetaNormal-Roman"/>
              </w:rPr>
              <w:t>live and</w:t>
            </w:r>
            <w:r>
              <w:rPr>
                <w:rFonts w:ascii="MetaNormal-Roman" w:hAnsi="MetaNormal-Roman"/>
              </w:rPr>
              <w:t xml:space="preserve"> will then have a free choice of all suitable schemes.</w:t>
            </w:r>
          </w:p>
        </w:tc>
      </w:tr>
      <w:tr w:rsidR="00F070CC" w:rsidRPr="005D6237" w14:paraId="7B147AE0" w14:textId="77777777" w:rsidTr="12C4F4B3">
        <w:trPr>
          <w:trHeight w:val="1842"/>
        </w:trPr>
        <w:tc>
          <w:tcPr>
            <w:tcW w:w="2972" w:type="dxa"/>
          </w:tcPr>
          <w:p w14:paraId="719DF116" w14:textId="2F63B558" w:rsidR="00F070CC" w:rsidRPr="005D6237" w:rsidRDefault="00F070CC" w:rsidP="00FA24AF">
            <w:pPr>
              <w:rPr>
                <w:rFonts w:ascii="MetaNormal-Roman" w:hAnsi="MetaNormal-Roman"/>
              </w:rPr>
            </w:pPr>
            <w:r w:rsidRPr="005D6237">
              <w:rPr>
                <w:rFonts w:ascii="MetaNormal-Roman" w:hAnsi="MetaNormal-Roman"/>
              </w:rPr>
              <w:t>Can we develop new services during the life of the framework contract?</w:t>
            </w:r>
          </w:p>
        </w:tc>
        <w:tc>
          <w:tcPr>
            <w:tcW w:w="6044" w:type="dxa"/>
          </w:tcPr>
          <w:p w14:paraId="4DE1B782" w14:textId="77777777" w:rsidR="00F070CC" w:rsidRDefault="005D6237" w:rsidP="00FA24AF">
            <w:pPr>
              <w:rPr>
                <w:rFonts w:ascii="MetaNormal-Roman" w:hAnsi="MetaNormal-Roman"/>
              </w:rPr>
            </w:pPr>
            <w:r>
              <w:rPr>
                <w:rFonts w:ascii="MetaNormal-Roman" w:hAnsi="MetaNormal-Roman"/>
              </w:rPr>
              <w:t>Yes, and this is encouraged by providers on the Framework.</w:t>
            </w:r>
          </w:p>
          <w:p w14:paraId="179198E6" w14:textId="77777777" w:rsidR="005D6237" w:rsidRDefault="005D6237" w:rsidP="00FA24AF">
            <w:pPr>
              <w:rPr>
                <w:rFonts w:ascii="MetaNormal-Roman" w:hAnsi="MetaNormal-Roman"/>
              </w:rPr>
            </w:pPr>
          </w:p>
          <w:p w14:paraId="5336DEF7" w14:textId="1E61CDC6" w:rsidR="005D6237" w:rsidRPr="005D6237" w:rsidRDefault="005D6237" w:rsidP="00FA24AF">
            <w:pPr>
              <w:rPr>
                <w:rFonts w:ascii="MetaNormal-Roman" w:hAnsi="MetaNormal-Roman"/>
              </w:rPr>
            </w:pPr>
            <w:r>
              <w:rPr>
                <w:rFonts w:ascii="MetaNormal-Roman" w:hAnsi="MetaNormal-Roman"/>
              </w:rPr>
              <w:t xml:space="preserve">In order to bring forward new accommodation a provider must have a place on the framework, and the accommodation must meet the standards required by ECC as well </w:t>
            </w:r>
            <w:r w:rsidR="00CC7658">
              <w:rPr>
                <w:rFonts w:ascii="MetaNormal-Roman" w:hAnsi="MetaNormal-Roman"/>
              </w:rPr>
              <w:t>as passing through the Accommodation Planning Board.</w:t>
            </w:r>
          </w:p>
        </w:tc>
      </w:tr>
      <w:tr w:rsidR="00F070CC" w:rsidRPr="005D6237" w14:paraId="50284F05" w14:textId="77777777" w:rsidTr="12C4F4B3">
        <w:trPr>
          <w:trHeight w:val="1401"/>
        </w:trPr>
        <w:tc>
          <w:tcPr>
            <w:tcW w:w="2972" w:type="dxa"/>
          </w:tcPr>
          <w:p w14:paraId="2518BFA0" w14:textId="7954233E" w:rsidR="00F070CC" w:rsidRPr="005D6237" w:rsidRDefault="00F070CC" w:rsidP="00FA24AF">
            <w:pPr>
              <w:rPr>
                <w:rFonts w:ascii="MetaNormal-Roman" w:hAnsi="MetaNormal-Roman"/>
              </w:rPr>
            </w:pPr>
            <w:r w:rsidRPr="005D6237">
              <w:rPr>
                <w:rFonts w:ascii="MetaNormal-Roman" w:hAnsi="MetaNormal-Roman"/>
              </w:rPr>
              <w:t>How is it decided where an adult will be placed?</w:t>
            </w:r>
          </w:p>
        </w:tc>
        <w:tc>
          <w:tcPr>
            <w:tcW w:w="6044" w:type="dxa"/>
          </w:tcPr>
          <w:p w14:paraId="417C146C" w14:textId="3E7C6C6A" w:rsidR="00F070CC" w:rsidRPr="005D6237" w:rsidRDefault="00CC7658" w:rsidP="00FA24AF">
            <w:pPr>
              <w:rPr>
                <w:rFonts w:ascii="MetaNormal-Roman" w:hAnsi="MetaNormal-Roman"/>
              </w:rPr>
            </w:pPr>
            <w:r>
              <w:rPr>
                <w:rFonts w:ascii="MetaNormal-Roman" w:hAnsi="MetaNormal-Roman"/>
              </w:rPr>
              <w:t>The choice of the placement is entirely that of the adult to be supported.  All suitable options will be provided to the adult following the application of a filtering tool and they will select where they visit and ultimately where they take up placement.</w:t>
            </w:r>
          </w:p>
        </w:tc>
      </w:tr>
      <w:tr w:rsidR="00F070CC" w:rsidRPr="005D6237" w14:paraId="46EE258D" w14:textId="77777777" w:rsidTr="12C4F4B3">
        <w:trPr>
          <w:trHeight w:val="2265"/>
        </w:trPr>
        <w:tc>
          <w:tcPr>
            <w:tcW w:w="2972" w:type="dxa"/>
          </w:tcPr>
          <w:p w14:paraId="18312A25" w14:textId="26BD9413" w:rsidR="00F070CC" w:rsidRPr="005D6237" w:rsidRDefault="00F070CC" w:rsidP="00FA24AF">
            <w:pPr>
              <w:rPr>
                <w:rFonts w:ascii="MetaNormal-Roman" w:hAnsi="MetaNormal-Roman"/>
              </w:rPr>
            </w:pPr>
            <w:r w:rsidRPr="005D6237">
              <w:rPr>
                <w:rFonts w:ascii="MetaNormal-Roman" w:hAnsi="MetaNormal-Roman"/>
              </w:rPr>
              <w:t xml:space="preserve">Do I have to bring </w:t>
            </w:r>
            <w:proofErr w:type="gramStart"/>
            <w:r w:rsidRPr="005D6237">
              <w:rPr>
                <w:rFonts w:ascii="MetaNormal-Roman" w:hAnsi="MetaNormal-Roman"/>
              </w:rPr>
              <w:t>all of</w:t>
            </w:r>
            <w:proofErr w:type="gramEnd"/>
            <w:r w:rsidRPr="005D6237">
              <w:rPr>
                <w:rFonts w:ascii="MetaNormal-Roman" w:hAnsi="MetaNormal-Roman"/>
              </w:rPr>
              <w:t xml:space="preserve"> my existing supported living services on to the framework?</w:t>
            </w:r>
          </w:p>
        </w:tc>
        <w:tc>
          <w:tcPr>
            <w:tcW w:w="6044" w:type="dxa"/>
          </w:tcPr>
          <w:p w14:paraId="1912641D" w14:textId="0E19F8FD" w:rsidR="00F070CC" w:rsidRDefault="00CC7658" w:rsidP="00FA24AF">
            <w:pPr>
              <w:rPr>
                <w:rFonts w:ascii="MetaNormal-Roman" w:hAnsi="MetaNormal-Roman"/>
              </w:rPr>
            </w:pPr>
            <w:r w:rsidRPr="12C4F4B3">
              <w:rPr>
                <w:rFonts w:ascii="MetaNormal-Roman" w:hAnsi="MetaNormal-Roman"/>
              </w:rPr>
              <w:t>No, you can select which supported living schemes you wish to bring on to the framework for ECC to make placements at</w:t>
            </w:r>
            <w:r w:rsidR="7D5DFD98" w:rsidRPr="12C4F4B3">
              <w:rPr>
                <w:rFonts w:ascii="MetaNormal-Roman" w:hAnsi="MetaNormal-Roman"/>
              </w:rPr>
              <w:t xml:space="preserve"> and one of the tender documents (the Supported Living Scheme Form) will require you to list all of the schemes you are proposing to bring forward to the framework.</w:t>
            </w:r>
          </w:p>
          <w:p w14:paraId="564E3024" w14:textId="77777777" w:rsidR="00CC7658" w:rsidRDefault="00CC7658" w:rsidP="00FA24AF">
            <w:pPr>
              <w:rPr>
                <w:rFonts w:ascii="MetaNormal-Roman" w:hAnsi="MetaNormal-Roman"/>
              </w:rPr>
            </w:pPr>
          </w:p>
          <w:p w14:paraId="312A82F1" w14:textId="1CED4EEB" w:rsidR="00CC7658" w:rsidRPr="005D6237" w:rsidRDefault="00CC7658" w:rsidP="00FA24AF">
            <w:pPr>
              <w:rPr>
                <w:rFonts w:ascii="MetaNormal-Roman" w:hAnsi="MetaNormal-Roman"/>
              </w:rPr>
            </w:pPr>
            <w:r w:rsidRPr="12C4F4B3">
              <w:rPr>
                <w:rFonts w:ascii="MetaNormal-Roman" w:hAnsi="MetaNormal-Roman"/>
              </w:rPr>
              <w:t>Schemes that have not been brought on to the framework will however not be placed at – but they can be brought forward to the framework at any time.</w:t>
            </w:r>
          </w:p>
        </w:tc>
      </w:tr>
      <w:tr w:rsidR="00F070CC" w:rsidRPr="005D6237" w14:paraId="74A7A55A" w14:textId="77777777" w:rsidTr="12C4F4B3">
        <w:trPr>
          <w:trHeight w:val="562"/>
        </w:trPr>
        <w:tc>
          <w:tcPr>
            <w:tcW w:w="2972" w:type="dxa"/>
          </w:tcPr>
          <w:p w14:paraId="5E398399" w14:textId="4C9C25B9" w:rsidR="00F070CC" w:rsidRPr="005D6237" w:rsidRDefault="00F070CC" w:rsidP="00FA24AF">
            <w:pPr>
              <w:rPr>
                <w:rFonts w:ascii="MetaNormal-Roman" w:hAnsi="MetaNormal-Roman"/>
              </w:rPr>
            </w:pPr>
            <w:r w:rsidRPr="005D6237">
              <w:rPr>
                <w:rFonts w:ascii="MetaNormal-Roman" w:hAnsi="MetaNormal-Roman"/>
              </w:rPr>
              <w:t>What are the framework rates?</w:t>
            </w:r>
          </w:p>
        </w:tc>
        <w:tc>
          <w:tcPr>
            <w:tcW w:w="6044" w:type="dxa"/>
          </w:tcPr>
          <w:p w14:paraId="1D28F548" w14:textId="77777777" w:rsidR="00F070CC" w:rsidRDefault="00CC7658" w:rsidP="00FA24AF">
            <w:pPr>
              <w:rPr>
                <w:rFonts w:ascii="MetaNormal-Roman" w:hAnsi="MetaNormal-Roman"/>
              </w:rPr>
            </w:pPr>
            <w:r>
              <w:rPr>
                <w:rFonts w:ascii="MetaNormal-Roman" w:hAnsi="MetaNormal-Roman"/>
              </w:rPr>
              <w:t>The current rates of pay on the framework are:</w:t>
            </w:r>
          </w:p>
          <w:p w14:paraId="5D27F44E" w14:textId="77777777" w:rsidR="00CC7658" w:rsidRDefault="00CC7658" w:rsidP="00FA24AF">
            <w:pPr>
              <w:rPr>
                <w:rFonts w:ascii="MetaNormal-Roman" w:hAnsi="MetaNormal-Roman"/>
              </w:rPr>
            </w:pPr>
          </w:p>
          <w:p w14:paraId="0F7A6192" w14:textId="77777777" w:rsidR="00CC7658" w:rsidRDefault="00CC7658" w:rsidP="00FA24AF">
            <w:pPr>
              <w:rPr>
                <w:rFonts w:ascii="MetaNormal-Roman" w:hAnsi="MetaNormal-Roman"/>
              </w:rPr>
            </w:pPr>
            <w:r>
              <w:rPr>
                <w:rFonts w:ascii="MetaNormal-Roman" w:hAnsi="MetaNormal-Roman"/>
              </w:rPr>
              <w:lastRenderedPageBreak/>
              <w:t>Standard: £15.92</w:t>
            </w:r>
          </w:p>
          <w:p w14:paraId="1BB0A402" w14:textId="77777777" w:rsidR="00CC7658" w:rsidRDefault="00CC7658" w:rsidP="00FA24AF">
            <w:pPr>
              <w:rPr>
                <w:rFonts w:ascii="MetaNormal-Roman" w:hAnsi="MetaNormal-Roman"/>
              </w:rPr>
            </w:pPr>
            <w:r>
              <w:rPr>
                <w:rFonts w:ascii="MetaNormal-Roman" w:hAnsi="MetaNormal-Roman"/>
              </w:rPr>
              <w:t>Enhanced Complex: £17.80</w:t>
            </w:r>
          </w:p>
          <w:p w14:paraId="5F7A5F52" w14:textId="03136FB2" w:rsidR="00CC7658" w:rsidRPr="005D6237" w:rsidRDefault="00CC7658" w:rsidP="00FA24AF">
            <w:pPr>
              <w:rPr>
                <w:rFonts w:ascii="MetaNormal-Roman" w:hAnsi="MetaNormal-Roman"/>
              </w:rPr>
            </w:pPr>
          </w:p>
        </w:tc>
      </w:tr>
      <w:tr w:rsidR="00F070CC" w:rsidRPr="005D6237" w14:paraId="5D4C9CA3" w14:textId="77777777" w:rsidTr="12C4F4B3">
        <w:trPr>
          <w:trHeight w:val="3290"/>
        </w:trPr>
        <w:tc>
          <w:tcPr>
            <w:tcW w:w="2972" w:type="dxa"/>
          </w:tcPr>
          <w:p w14:paraId="234DA111" w14:textId="6A4E9AB2" w:rsidR="00F070CC" w:rsidRPr="005D6237" w:rsidRDefault="00F070CC" w:rsidP="00FA24AF">
            <w:pPr>
              <w:rPr>
                <w:rFonts w:ascii="MetaNormal-Roman" w:hAnsi="MetaNormal-Roman"/>
              </w:rPr>
            </w:pPr>
            <w:r w:rsidRPr="005D6237">
              <w:rPr>
                <w:rFonts w:ascii="MetaNormal-Roman" w:hAnsi="MetaNormal-Roman"/>
              </w:rPr>
              <w:lastRenderedPageBreak/>
              <w:t>What is a mini-competition process and how would it work?</w:t>
            </w:r>
            <w:bookmarkStart w:id="0" w:name="_GoBack"/>
            <w:bookmarkEnd w:id="0"/>
          </w:p>
        </w:tc>
        <w:tc>
          <w:tcPr>
            <w:tcW w:w="6044" w:type="dxa"/>
          </w:tcPr>
          <w:p w14:paraId="21EAD932" w14:textId="588576C9" w:rsidR="00F070CC" w:rsidRDefault="00CC7658" w:rsidP="00FA24AF">
            <w:pPr>
              <w:rPr>
                <w:rFonts w:ascii="MetaNormal-Roman" w:hAnsi="MetaNormal-Roman"/>
              </w:rPr>
            </w:pPr>
            <w:r w:rsidRPr="12C4F4B3">
              <w:rPr>
                <w:rFonts w:ascii="MetaNormal-Roman" w:hAnsi="MetaNormal-Roman"/>
              </w:rPr>
              <w:t>The framework will allow ECC to conduct a mini-competition process with all providers on the framework where it is considered appropriate.</w:t>
            </w:r>
          </w:p>
          <w:p w14:paraId="5DC49772" w14:textId="77777777" w:rsidR="00CC7658" w:rsidRDefault="00CC7658" w:rsidP="00FA24AF">
            <w:pPr>
              <w:rPr>
                <w:rFonts w:ascii="MetaNormal-Roman" w:hAnsi="MetaNormal-Roman"/>
              </w:rPr>
            </w:pPr>
          </w:p>
          <w:p w14:paraId="157C0204" w14:textId="77777777" w:rsidR="00CC7658" w:rsidRDefault="00CC7658" w:rsidP="00FA24AF">
            <w:pPr>
              <w:rPr>
                <w:rFonts w:ascii="MetaNormal-Roman" w:hAnsi="MetaNormal-Roman"/>
              </w:rPr>
            </w:pPr>
            <w:r>
              <w:rPr>
                <w:rFonts w:ascii="MetaNormal-Roman" w:hAnsi="MetaNormal-Roman"/>
              </w:rPr>
              <w:t xml:space="preserve">This takes the form of a tender exercise and bidders will be required to confirm interest and submit their bids in line with the requirements of the </w:t>
            </w:r>
            <w:proofErr w:type="gramStart"/>
            <w:r>
              <w:rPr>
                <w:rFonts w:ascii="MetaNormal-Roman" w:hAnsi="MetaNormal-Roman"/>
              </w:rPr>
              <w:t>mini-competition</w:t>
            </w:r>
            <w:proofErr w:type="gramEnd"/>
            <w:r>
              <w:rPr>
                <w:rFonts w:ascii="MetaNormal-Roman" w:hAnsi="MetaNormal-Roman"/>
              </w:rPr>
              <w:t xml:space="preserve"> which will be outlined at the time the documents are released.</w:t>
            </w:r>
          </w:p>
          <w:p w14:paraId="52AEA3ED" w14:textId="77777777" w:rsidR="00CC7658" w:rsidRDefault="00CC7658" w:rsidP="00FA24AF">
            <w:pPr>
              <w:rPr>
                <w:rFonts w:ascii="MetaNormal-Roman" w:hAnsi="MetaNormal-Roman"/>
              </w:rPr>
            </w:pPr>
          </w:p>
          <w:p w14:paraId="24905AC0" w14:textId="67C4DBD3" w:rsidR="00CC7658" w:rsidRPr="005D6237" w:rsidRDefault="00CC7658" w:rsidP="12C4F4B3">
            <w:pPr>
              <w:rPr>
                <w:rFonts w:ascii="MetaNormal-Roman" w:hAnsi="MetaNormal-Roman"/>
              </w:rPr>
            </w:pPr>
            <w:r w:rsidRPr="12C4F4B3">
              <w:rPr>
                <w:rFonts w:ascii="MetaNormal-Roman" w:hAnsi="MetaNormal-Roman"/>
              </w:rPr>
              <w:t>All providers that have a place on the framework will be eligible to bid</w:t>
            </w:r>
            <w:r w:rsidR="002D33AA" w:rsidRPr="12C4F4B3">
              <w:rPr>
                <w:rFonts w:ascii="MetaNormal-Roman" w:hAnsi="MetaNormal-Roman"/>
              </w:rPr>
              <w:t xml:space="preserve"> in mini-competitions as and when they arise.</w:t>
            </w:r>
          </w:p>
          <w:p w14:paraId="4716C86C" w14:textId="5D7B757B" w:rsidR="00CC7658" w:rsidRPr="005D6237" w:rsidRDefault="00CC7658" w:rsidP="12C4F4B3">
            <w:pPr>
              <w:rPr>
                <w:rFonts w:ascii="MetaNormal-Roman" w:eastAsia="MetaNormal-Roman" w:hAnsi="MetaNormal-Roman" w:cs="MetaNormal-Roman"/>
              </w:rPr>
            </w:pPr>
          </w:p>
          <w:p w14:paraId="1D63DA3A" w14:textId="71A439F1" w:rsidR="00CC7658" w:rsidRPr="005D6237" w:rsidRDefault="04D7F501" w:rsidP="12C4F4B3">
            <w:pPr>
              <w:rPr>
                <w:rFonts w:ascii="MetaNormal-Roman" w:eastAsia="MetaNormal-Roman" w:hAnsi="MetaNormal-Roman" w:cs="MetaNormal-Roman"/>
              </w:rPr>
            </w:pPr>
            <w:r w:rsidRPr="12C4F4B3">
              <w:rPr>
                <w:rFonts w:ascii="MetaNormal-Roman" w:eastAsia="MetaNormal-Roman" w:hAnsi="MetaNormal-Roman" w:cs="MetaNormal-Roman"/>
              </w:rPr>
              <w:t>The Mini-Competition Process may be most appropriate in the following circumstances:</w:t>
            </w:r>
          </w:p>
          <w:p w14:paraId="1D7AD12A" w14:textId="2B2D77A1" w:rsidR="00CC7658" w:rsidRPr="005D6237" w:rsidRDefault="04D7F501" w:rsidP="12C4F4B3">
            <w:pPr>
              <w:rPr>
                <w:rFonts w:ascii="MetaNormal-Roman" w:eastAsia="MetaNormal-Roman" w:hAnsi="MetaNormal-Roman" w:cs="MetaNormal-Roman"/>
              </w:rPr>
            </w:pPr>
            <w:r w:rsidRPr="12C4F4B3">
              <w:rPr>
                <w:rFonts w:ascii="MetaNormal-Roman" w:eastAsia="MetaNormal-Roman" w:hAnsi="MetaNormal-Roman" w:cs="MetaNormal-Roman"/>
              </w:rPr>
              <w:t xml:space="preserve"> </w:t>
            </w:r>
          </w:p>
          <w:p w14:paraId="1931E6A3" w14:textId="7FFAC630" w:rsidR="00CC7658" w:rsidRPr="005D6237" w:rsidRDefault="04D7F501" w:rsidP="12C4F4B3">
            <w:pPr>
              <w:pStyle w:val="ListParagraph"/>
              <w:numPr>
                <w:ilvl w:val="0"/>
                <w:numId w:val="1"/>
              </w:numPr>
              <w:rPr>
                <w:rFonts w:ascii="MetaNormal-Roman" w:eastAsia="MetaNormal-Roman" w:hAnsi="MetaNormal-Roman" w:cs="MetaNormal-Roman"/>
              </w:rPr>
            </w:pPr>
            <w:r w:rsidRPr="12C4F4B3">
              <w:rPr>
                <w:rFonts w:ascii="MetaNormal-Roman" w:eastAsia="MetaNormal-Roman" w:hAnsi="MetaNormal-Roman" w:cs="MetaNormal-Roman"/>
              </w:rPr>
              <w:t xml:space="preserve">A placement could not be sourced through the standard placement process for any reason; </w:t>
            </w:r>
          </w:p>
          <w:p w14:paraId="1662E741" w14:textId="0371743E" w:rsidR="00CC7658" w:rsidRPr="005D6237" w:rsidRDefault="04D7F501" w:rsidP="12C4F4B3">
            <w:pPr>
              <w:pStyle w:val="ListParagraph"/>
              <w:numPr>
                <w:ilvl w:val="0"/>
                <w:numId w:val="1"/>
              </w:numPr>
              <w:rPr>
                <w:rFonts w:ascii="MetaNormal-Roman" w:eastAsia="MetaNormal-Roman" w:hAnsi="MetaNormal-Roman" w:cs="MetaNormal-Roman"/>
              </w:rPr>
            </w:pPr>
            <w:r w:rsidRPr="12C4F4B3">
              <w:rPr>
                <w:rFonts w:ascii="MetaNormal-Roman" w:eastAsia="MetaNormal-Roman" w:hAnsi="MetaNormal-Roman" w:cs="MetaNormal-Roman"/>
              </w:rPr>
              <w:t xml:space="preserve">The adult seeking placement has a high level of need or a level of bespoke service is required either in the delivery of care or modification to existing accommodation; </w:t>
            </w:r>
          </w:p>
          <w:p w14:paraId="414F9485" w14:textId="1EB946D9" w:rsidR="00CC7658" w:rsidRPr="005D6237" w:rsidRDefault="04D7F501" w:rsidP="12C4F4B3">
            <w:pPr>
              <w:pStyle w:val="ListParagraph"/>
              <w:numPr>
                <w:ilvl w:val="0"/>
                <w:numId w:val="1"/>
              </w:numPr>
              <w:rPr>
                <w:rFonts w:ascii="MetaNormal-Roman" w:eastAsia="MetaNormal-Roman" w:hAnsi="MetaNormal-Roman" w:cs="MetaNormal-Roman"/>
              </w:rPr>
            </w:pPr>
            <w:r w:rsidRPr="12C4F4B3">
              <w:rPr>
                <w:rFonts w:ascii="MetaNormal-Roman" w:eastAsia="MetaNormal-Roman" w:hAnsi="MetaNormal-Roman" w:cs="MetaNormal-Roman"/>
              </w:rPr>
              <w:t xml:space="preserve">Multiple adults are seeking placement in a single unit; </w:t>
            </w:r>
          </w:p>
          <w:p w14:paraId="590CF129" w14:textId="22EB888A" w:rsidR="00CC7658" w:rsidRPr="005D6237" w:rsidRDefault="04D7F501" w:rsidP="12C4F4B3">
            <w:pPr>
              <w:pStyle w:val="ListParagraph"/>
              <w:numPr>
                <w:ilvl w:val="0"/>
                <w:numId w:val="1"/>
              </w:numPr>
              <w:rPr>
                <w:rFonts w:ascii="MetaNormal-Roman" w:eastAsia="MetaNormal-Roman" w:hAnsi="MetaNormal-Roman" w:cs="MetaNormal-Roman"/>
              </w:rPr>
            </w:pPr>
            <w:r w:rsidRPr="12C4F4B3">
              <w:rPr>
                <w:rFonts w:ascii="MetaNormal-Roman" w:eastAsia="MetaNormal-Roman" w:hAnsi="MetaNormal-Roman" w:cs="MetaNormal-Roman"/>
              </w:rPr>
              <w:t xml:space="preserve">A new provider is required for any existing supported living accommodation through supplier failure, handback of packages, or it is otherwise the responsibility of the Council to source; </w:t>
            </w:r>
          </w:p>
          <w:p w14:paraId="59FF0BE6" w14:textId="62C80139" w:rsidR="001D2BDD" w:rsidRDefault="001D2BDD" w:rsidP="12C4F4B3">
            <w:pPr>
              <w:pStyle w:val="ListParagraph"/>
              <w:numPr>
                <w:ilvl w:val="0"/>
                <w:numId w:val="1"/>
              </w:numPr>
              <w:rPr>
                <w:rFonts w:ascii="MetaNormal-Roman" w:eastAsia="MetaNormal-Roman" w:hAnsi="MetaNormal-Roman" w:cs="MetaNormal-Roman"/>
              </w:rPr>
            </w:pPr>
            <w:r>
              <w:rPr>
                <w:rFonts w:ascii="MetaNormal-Roman" w:eastAsia="MetaNormal-Roman" w:hAnsi="MetaNormal-Roman" w:cs="MetaNormal-Roman"/>
              </w:rPr>
              <w:t>Sourcing a provider for a new supported living service that ECC are responsible for sourcing;</w:t>
            </w:r>
          </w:p>
          <w:p w14:paraId="374A65DF" w14:textId="62CC7DB2" w:rsidR="00CC7658" w:rsidRPr="005D6237" w:rsidRDefault="04D7F501" w:rsidP="12C4F4B3">
            <w:pPr>
              <w:pStyle w:val="ListParagraph"/>
              <w:numPr>
                <w:ilvl w:val="0"/>
                <w:numId w:val="1"/>
              </w:numPr>
              <w:rPr>
                <w:rFonts w:ascii="MetaNormal-Roman" w:eastAsia="MetaNormal-Roman" w:hAnsi="MetaNormal-Roman" w:cs="MetaNormal-Roman"/>
              </w:rPr>
            </w:pPr>
            <w:r w:rsidRPr="12C4F4B3">
              <w:rPr>
                <w:rFonts w:ascii="MetaNormal-Roman" w:eastAsia="MetaNormal-Roman" w:hAnsi="MetaNormal-Roman" w:cs="MetaNormal-Roman"/>
              </w:rPr>
              <w:t>Emergency placements to be made on a short or long-term basis that require an accelerated placement process.</w:t>
            </w:r>
          </w:p>
          <w:p w14:paraId="7428D3A7" w14:textId="1B61F59E" w:rsidR="00CC7658" w:rsidRPr="005D6237" w:rsidRDefault="00CC7658" w:rsidP="12C4F4B3">
            <w:pPr>
              <w:rPr>
                <w:rFonts w:ascii="MetaNormal-Roman" w:hAnsi="MetaNormal-Roman"/>
              </w:rPr>
            </w:pPr>
          </w:p>
        </w:tc>
      </w:tr>
      <w:tr w:rsidR="00F070CC" w:rsidRPr="005D6237" w14:paraId="6B1F2655" w14:textId="77777777" w:rsidTr="12C4F4B3">
        <w:trPr>
          <w:trHeight w:val="1834"/>
        </w:trPr>
        <w:tc>
          <w:tcPr>
            <w:tcW w:w="2972" w:type="dxa"/>
          </w:tcPr>
          <w:p w14:paraId="3C46388C" w14:textId="5FD0C3A2" w:rsidR="00F070CC" w:rsidRPr="005D6237" w:rsidRDefault="00F070CC" w:rsidP="00FA24AF">
            <w:pPr>
              <w:rPr>
                <w:rFonts w:ascii="MetaNormal-Roman" w:hAnsi="MetaNormal-Roman"/>
              </w:rPr>
            </w:pPr>
            <w:r w:rsidRPr="005D6237">
              <w:rPr>
                <w:rFonts w:ascii="MetaNormal-Roman" w:hAnsi="MetaNormal-Roman"/>
              </w:rPr>
              <w:t>Does this supersede existing contracts we have with Essex County Council for supported living services?</w:t>
            </w:r>
          </w:p>
        </w:tc>
        <w:tc>
          <w:tcPr>
            <w:tcW w:w="6044" w:type="dxa"/>
          </w:tcPr>
          <w:p w14:paraId="75FDAC9E" w14:textId="77777777" w:rsidR="00F070CC" w:rsidRDefault="00FC545B" w:rsidP="00FA24AF">
            <w:pPr>
              <w:rPr>
                <w:rFonts w:ascii="MetaNormal-Roman" w:hAnsi="MetaNormal-Roman"/>
              </w:rPr>
            </w:pPr>
            <w:r>
              <w:rPr>
                <w:rFonts w:ascii="MetaNormal-Roman" w:hAnsi="MetaNormal-Roman"/>
              </w:rPr>
              <w:t>Yes.</w:t>
            </w:r>
          </w:p>
          <w:p w14:paraId="258CB5E4" w14:textId="77777777" w:rsidR="00FC545B" w:rsidRDefault="00FC545B" w:rsidP="00FA24AF">
            <w:pPr>
              <w:rPr>
                <w:rFonts w:ascii="MetaNormal-Roman" w:hAnsi="MetaNormal-Roman"/>
              </w:rPr>
            </w:pPr>
          </w:p>
          <w:p w14:paraId="6CF416E4" w14:textId="4F62D5D8" w:rsidR="00FC545B" w:rsidRPr="005D6237" w:rsidRDefault="00FC545B" w:rsidP="00FA24AF">
            <w:pPr>
              <w:rPr>
                <w:rFonts w:ascii="MetaNormal-Roman" w:hAnsi="MetaNormal-Roman"/>
              </w:rPr>
            </w:pPr>
            <w:r>
              <w:rPr>
                <w:rFonts w:ascii="MetaNormal-Roman" w:hAnsi="MetaNormal-Roman"/>
              </w:rPr>
              <w:t>Where a provider bids and is awarded a place on the framework the new contract terms will be applied to all existing placements with that provider at the supported living schemes that they have brought forward to the framework.</w:t>
            </w:r>
          </w:p>
        </w:tc>
      </w:tr>
      <w:tr w:rsidR="00F070CC" w:rsidRPr="005D6237" w14:paraId="3A72027F" w14:textId="77777777" w:rsidTr="12C4F4B3">
        <w:trPr>
          <w:trHeight w:val="1550"/>
        </w:trPr>
        <w:tc>
          <w:tcPr>
            <w:tcW w:w="2972" w:type="dxa"/>
          </w:tcPr>
          <w:p w14:paraId="49B973D5" w14:textId="525A974F" w:rsidR="00F070CC" w:rsidRPr="005D6237" w:rsidRDefault="002E41F4" w:rsidP="00FA24AF">
            <w:pPr>
              <w:rPr>
                <w:rFonts w:ascii="MetaNormal-Roman" w:hAnsi="MetaNormal-Roman"/>
              </w:rPr>
            </w:pPr>
            <w:r w:rsidRPr="005D6237">
              <w:rPr>
                <w:rFonts w:ascii="MetaNormal-Roman" w:hAnsi="MetaNormal-Roman"/>
              </w:rPr>
              <w:t>What are the main changes under the new contract?</w:t>
            </w:r>
          </w:p>
        </w:tc>
        <w:tc>
          <w:tcPr>
            <w:tcW w:w="6044" w:type="dxa"/>
          </w:tcPr>
          <w:p w14:paraId="6A9D9535" w14:textId="44C64932" w:rsidR="00F070CC" w:rsidRPr="005D6237" w:rsidRDefault="00FC545B" w:rsidP="00FA24AF">
            <w:pPr>
              <w:rPr>
                <w:rFonts w:ascii="MetaNormal-Roman" w:hAnsi="MetaNormal-Roman"/>
              </w:rPr>
            </w:pPr>
            <w:r>
              <w:rPr>
                <w:rFonts w:ascii="MetaNormal-Roman" w:hAnsi="MetaNormal-Roman"/>
              </w:rPr>
              <w:t>The new contract includes an updated specification, performance standards, and updates the relevant guidance and legislation from previous contracts inclusive of GDPR, safeguarding and the Care Act.</w:t>
            </w:r>
          </w:p>
        </w:tc>
      </w:tr>
      <w:tr w:rsidR="002E41F4" w:rsidRPr="005D6237" w14:paraId="58474F56" w14:textId="77777777" w:rsidTr="12C4F4B3">
        <w:trPr>
          <w:trHeight w:val="2960"/>
        </w:trPr>
        <w:tc>
          <w:tcPr>
            <w:tcW w:w="2972" w:type="dxa"/>
          </w:tcPr>
          <w:p w14:paraId="6C9BB163" w14:textId="26F078A1" w:rsidR="002E41F4" w:rsidRPr="005D6237" w:rsidRDefault="002E41F4" w:rsidP="00FA24AF">
            <w:pPr>
              <w:rPr>
                <w:rFonts w:ascii="MetaNormal-Roman" w:hAnsi="MetaNormal-Roman"/>
              </w:rPr>
            </w:pPr>
            <w:r w:rsidRPr="005D6237">
              <w:rPr>
                <w:rFonts w:ascii="MetaNormal-Roman" w:hAnsi="MetaNormal-Roman"/>
              </w:rPr>
              <w:lastRenderedPageBreak/>
              <w:t>Does my supported living scheme have to be onboarded to come on to the framework?</w:t>
            </w:r>
          </w:p>
        </w:tc>
        <w:tc>
          <w:tcPr>
            <w:tcW w:w="6044" w:type="dxa"/>
          </w:tcPr>
          <w:p w14:paraId="25ABD413" w14:textId="77777777" w:rsidR="002E41F4" w:rsidRDefault="00FC545B" w:rsidP="00FA24AF">
            <w:pPr>
              <w:rPr>
                <w:rFonts w:ascii="MetaNormal-Roman" w:hAnsi="MetaNormal-Roman"/>
              </w:rPr>
            </w:pPr>
            <w:r>
              <w:rPr>
                <w:rFonts w:ascii="MetaNormal-Roman" w:hAnsi="MetaNormal-Roman"/>
              </w:rPr>
              <w:t>No, it can be brought forward to the framework however it cannot be placed at until it has been onboarded.</w:t>
            </w:r>
          </w:p>
          <w:p w14:paraId="5DDEFDE7" w14:textId="77777777" w:rsidR="00FC545B" w:rsidRDefault="00FC545B" w:rsidP="00FA24AF">
            <w:pPr>
              <w:rPr>
                <w:rFonts w:ascii="MetaNormal-Roman" w:hAnsi="MetaNormal-Roman"/>
              </w:rPr>
            </w:pPr>
          </w:p>
          <w:p w14:paraId="4A216990" w14:textId="77777777" w:rsidR="00FC545B" w:rsidRDefault="00FC545B" w:rsidP="00FA24AF">
            <w:pPr>
              <w:rPr>
                <w:rFonts w:ascii="MetaNormal-Roman" w:hAnsi="MetaNormal-Roman"/>
              </w:rPr>
            </w:pPr>
            <w:r>
              <w:rPr>
                <w:rFonts w:ascii="MetaNormal-Roman" w:hAnsi="MetaNormal-Roman"/>
              </w:rPr>
              <w:t xml:space="preserve">In practice this means that when vacancies arise </w:t>
            </w:r>
            <w:r w:rsidR="0029217D">
              <w:rPr>
                <w:rFonts w:ascii="MetaNormal-Roman" w:hAnsi="MetaNormal-Roman"/>
              </w:rPr>
              <w:t xml:space="preserve">in existing schemes that are yet to be onboarding an application will be required to be made to onboard the property. </w:t>
            </w:r>
          </w:p>
          <w:p w14:paraId="4B6F27E6" w14:textId="77777777" w:rsidR="0029217D" w:rsidRDefault="0029217D" w:rsidP="00FA24AF">
            <w:pPr>
              <w:rPr>
                <w:rFonts w:ascii="MetaNormal-Roman" w:hAnsi="MetaNormal-Roman"/>
              </w:rPr>
            </w:pPr>
          </w:p>
          <w:p w14:paraId="2BF10486" w14:textId="0BE7B419" w:rsidR="0029217D" w:rsidRPr="005D6237" w:rsidRDefault="0029217D" w:rsidP="00FA24AF">
            <w:pPr>
              <w:rPr>
                <w:rFonts w:ascii="MetaNormal-Roman" w:hAnsi="MetaNormal-Roman"/>
              </w:rPr>
            </w:pPr>
            <w:r>
              <w:rPr>
                <w:rFonts w:ascii="MetaNormal-Roman" w:hAnsi="MetaNormal-Roman"/>
              </w:rPr>
              <w:t>If you have properties that do not meet the standards set out by ECC and are unlikely to be modifiable so they can they should not be brought forward to the framework.</w:t>
            </w:r>
          </w:p>
        </w:tc>
      </w:tr>
      <w:tr w:rsidR="00A232F4" w:rsidRPr="005D6237" w14:paraId="17C6A2D8" w14:textId="77777777" w:rsidTr="12C4F4B3">
        <w:trPr>
          <w:trHeight w:val="1840"/>
        </w:trPr>
        <w:tc>
          <w:tcPr>
            <w:tcW w:w="2972" w:type="dxa"/>
          </w:tcPr>
          <w:p w14:paraId="2741A169" w14:textId="66E02F15" w:rsidR="00A232F4" w:rsidRPr="005D6237" w:rsidRDefault="00A232F4" w:rsidP="00FA24AF">
            <w:pPr>
              <w:rPr>
                <w:rFonts w:ascii="MetaNormal-Roman" w:hAnsi="MetaNormal-Roman"/>
              </w:rPr>
            </w:pPr>
            <w:r w:rsidRPr="005D6237">
              <w:rPr>
                <w:rFonts w:ascii="MetaNormal-Roman" w:hAnsi="MetaNormal-Roman"/>
              </w:rPr>
              <w:t>I have never completed a tender before – is there further assistance available to me?</w:t>
            </w:r>
          </w:p>
        </w:tc>
        <w:tc>
          <w:tcPr>
            <w:tcW w:w="6044" w:type="dxa"/>
          </w:tcPr>
          <w:p w14:paraId="49E93C9C" w14:textId="77777777" w:rsidR="00A232F4" w:rsidRDefault="0029217D" w:rsidP="00FA24AF">
            <w:pPr>
              <w:rPr>
                <w:rFonts w:ascii="MetaNormal-Roman" w:hAnsi="MetaNormal-Roman"/>
              </w:rPr>
            </w:pPr>
            <w:r>
              <w:rPr>
                <w:rFonts w:ascii="MetaNormal-Roman" w:hAnsi="MetaNormal-Roman"/>
              </w:rPr>
              <w:t>Where you require further assistance with tendering please contact ECC with the issues being experienced.</w:t>
            </w:r>
          </w:p>
          <w:p w14:paraId="54015064" w14:textId="77777777" w:rsidR="0029217D" w:rsidRDefault="0029217D" w:rsidP="00FA24AF">
            <w:pPr>
              <w:rPr>
                <w:rFonts w:ascii="MetaNormal-Roman" w:hAnsi="MetaNormal-Roman"/>
              </w:rPr>
            </w:pPr>
          </w:p>
          <w:p w14:paraId="1BDA10E3" w14:textId="1860FAB1" w:rsidR="0029217D" w:rsidRPr="005D6237" w:rsidRDefault="0029217D" w:rsidP="00FA24AF">
            <w:pPr>
              <w:rPr>
                <w:rFonts w:ascii="MetaNormal-Roman" w:hAnsi="MetaNormal-Roman"/>
              </w:rPr>
            </w:pPr>
            <w:r>
              <w:rPr>
                <w:rFonts w:ascii="MetaNormal-Roman" w:hAnsi="MetaNormal-Roman"/>
              </w:rPr>
              <w:t xml:space="preserve">Where the </w:t>
            </w:r>
            <w:r w:rsidR="00F21A22">
              <w:rPr>
                <w:rFonts w:ascii="MetaNormal-Roman" w:hAnsi="MetaNormal-Roman"/>
              </w:rPr>
              <w:t>question is related directly to the procurement process and may be of interest to all bidders or confer an unfair advantage, it will be shared on the clarification log.</w:t>
            </w:r>
          </w:p>
        </w:tc>
      </w:tr>
    </w:tbl>
    <w:p w14:paraId="5483C9BF" w14:textId="3DA15843" w:rsidR="00FA24AF" w:rsidRPr="005D6237" w:rsidRDefault="00FA24AF" w:rsidP="00FA24AF">
      <w:pPr>
        <w:spacing w:after="0" w:line="240" w:lineRule="auto"/>
        <w:rPr>
          <w:rFonts w:ascii="MetaNormal-Roman" w:hAnsi="MetaNormal-Roman"/>
        </w:rPr>
      </w:pPr>
    </w:p>
    <w:sectPr w:rsidR="00FA24AF" w:rsidRPr="005D62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91D73" w14:textId="77777777" w:rsidR="00C54FA3" w:rsidRDefault="00C54FA3" w:rsidP="000D65FF">
      <w:pPr>
        <w:spacing w:after="0" w:line="240" w:lineRule="auto"/>
      </w:pPr>
      <w:r>
        <w:separator/>
      </w:r>
    </w:p>
  </w:endnote>
  <w:endnote w:type="continuationSeparator" w:id="0">
    <w:p w14:paraId="7B0B5B3D" w14:textId="77777777" w:rsidR="00C54FA3" w:rsidRDefault="00C54FA3" w:rsidP="000D6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etaNormal-Roman">
    <w:panose1 w:val="020B0502030000020004"/>
    <w:charset w:val="00"/>
    <w:family w:val="swiss"/>
    <w:pitch w:val="variable"/>
    <w:sig w:usb0="8000002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98052" w14:textId="77777777" w:rsidR="00C54FA3" w:rsidRDefault="00C54FA3" w:rsidP="000D65FF">
      <w:pPr>
        <w:spacing w:after="0" w:line="240" w:lineRule="auto"/>
      </w:pPr>
      <w:r>
        <w:separator/>
      </w:r>
    </w:p>
  </w:footnote>
  <w:footnote w:type="continuationSeparator" w:id="0">
    <w:p w14:paraId="0B8B6440" w14:textId="77777777" w:rsidR="00C54FA3" w:rsidRDefault="00C54FA3" w:rsidP="000D65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2A2043"/>
    <w:multiLevelType w:val="hybridMultilevel"/>
    <w:tmpl w:val="9A5E89F6"/>
    <w:lvl w:ilvl="0" w:tplc="AE0EE0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D85978"/>
    <w:multiLevelType w:val="hybridMultilevel"/>
    <w:tmpl w:val="57DAB488"/>
    <w:lvl w:ilvl="0" w:tplc="349250AA">
      <w:start w:val="1"/>
      <w:numFmt w:val="bullet"/>
      <w:lvlText w:val=""/>
      <w:lvlJc w:val="left"/>
      <w:pPr>
        <w:ind w:left="720" w:hanging="360"/>
      </w:pPr>
      <w:rPr>
        <w:rFonts w:ascii="Symbol" w:hAnsi="Symbol" w:hint="default"/>
      </w:rPr>
    </w:lvl>
    <w:lvl w:ilvl="1" w:tplc="17A2F7FC">
      <w:start w:val="1"/>
      <w:numFmt w:val="bullet"/>
      <w:lvlText w:val="o"/>
      <w:lvlJc w:val="left"/>
      <w:pPr>
        <w:ind w:left="1440" w:hanging="360"/>
      </w:pPr>
      <w:rPr>
        <w:rFonts w:ascii="Courier New" w:hAnsi="Courier New" w:hint="default"/>
      </w:rPr>
    </w:lvl>
    <w:lvl w:ilvl="2" w:tplc="11765A66">
      <w:start w:val="1"/>
      <w:numFmt w:val="bullet"/>
      <w:lvlText w:val=""/>
      <w:lvlJc w:val="left"/>
      <w:pPr>
        <w:ind w:left="2160" w:hanging="360"/>
      </w:pPr>
      <w:rPr>
        <w:rFonts w:ascii="Wingdings" w:hAnsi="Wingdings" w:hint="default"/>
      </w:rPr>
    </w:lvl>
    <w:lvl w:ilvl="3" w:tplc="6D5A9CD0">
      <w:start w:val="1"/>
      <w:numFmt w:val="bullet"/>
      <w:lvlText w:val=""/>
      <w:lvlJc w:val="left"/>
      <w:pPr>
        <w:ind w:left="2880" w:hanging="360"/>
      </w:pPr>
      <w:rPr>
        <w:rFonts w:ascii="Symbol" w:hAnsi="Symbol" w:hint="default"/>
      </w:rPr>
    </w:lvl>
    <w:lvl w:ilvl="4" w:tplc="63B0F514">
      <w:start w:val="1"/>
      <w:numFmt w:val="bullet"/>
      <w:lvlText w:val="o"/>
      <w:lvlJc w:val="left"/>
      <w:pPr>
        <w:ind w:left="3600" w:hanging="360"/>
      </w:pPr>
      <w:rPr>
        <w:rFonts w:ascii="Courier New" w:hAnsi="Courier New" w:hint="default"/>
      </w:rPr>
    </w:lvl>
    <w:lvl w:ilvl="5" w:tplc="936AEE14">
      <w:start w:val="1"/>
      <w:numFmt w:val="bullet"/>
      <w:lvlText w:val=""/>
      <w:lvlJc w:val="left"/>
      <w:pPr>
        <w:ind w:left="4320" w:hanging="360"/>
      </w:pPr>
      <w:rPr>
        <w:rFonts w:ascii="Wingdings" w:hAnsi="Wingdings" w:hint="default"/>
      </w:rPr>
    </w:lvl>
    <w:lvl w:ilvl="6" w:tplc="03868C6E">
      <w:start w:val="1"/>
      <w:numFmt w:val="bullet"/>
      <w:lvlText w:val=""/>
      <w:lvlJc w:val="left"/>
      <w:pPr>
        <w:ind w:left="5040" w:hanging="360"/>
      </w:pPr>
      <w:rPr>
        <w:rFonts w:ascii="Symbol" w:hAnsi="Symbol" w:hint="default"/>
      </w:rPr>
    </w:lvl>
    <w:lvl w:ilvl="7" w:tplc="BFC20E44">
      <w:start w:val="1"/>
      <w:numFmt w:val="bullet"/>
      <w:lvlText w:val="o"/>
      <w:lvlJc w:val="left"/>
      <w:pPr>
        <w:ind w:left="5760" w:hanging="360"/>
      </w:pPr>
      <w:rPr>
        <w:rFonts w:ascii="Courier New" w:hAnsi="Courier New" w:hint="default"/>
      </w:rPr>
    </w:lvl>
    <w:lvl w:ilvl="8" w:tplc="CD76C96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4AF"/>
    <w:rsid w:val="000D65FF"/>
    <w:rsid w:val="00114893"/>
    <w:rsid w:val="0016593F"/>
    <w:rsid w:val="001D2BDD"/>
    <w:rsid w:val="00234DBD"/>
    <w:rsid w:val="0029217D"/>
    <w:rsid w:val="002D33AA"/>
    <w:rsid w:val="002E41F4"/>
    <w:rsid w:val="00584840"/>
    <w:rsid w:val="005D6237"/>
    <w:rsid w:val="00685FCD"/>
    <w:rsid w:val="00847556"/>
    <w:rsid w:val="00865F01"/>
    <w:rsid w:val="00A232F4"/>
    <w:rsid w:val="00C54FA3"/>
    <w:rsid w:val="00CB544B"/>
    <w:rsid w:val="00CC7658"/>
    <w:rsid w:val="00E957AF"/>
    <w:rsid w:val="00F070CC"/>
    <w:rsid w:val="00F21A22"/>
    <w:rsid w:val="00F75833"/>
    <w:rsid w:val="00FA24AF"/>
    <w:rsid w:val="00FC545B"/>
    <w:rsid w:val="04D7F501"/>
    <w:rsid w:val="12C4F4B3"/>
    <w:rsid w:val="23A4AEE7"/>
    <w:rsid w:val="4200B722"/>
    <w:rsid w:val="5D06FF49"/>
    <w:rsid w:val="7D3E8D67"/>
    <w:rsid w:val="7D5DF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2BEDE4"/>
  <w15:chartTrackingRefBased/>
  <w15:docId w15:val="{B837B2A5-8C09-4AB3-A9A6-89E92D93B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2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41F4"/>
    <w:pPr>
      <w:ind w:left="720"/>
      <w:contextualSpacing/>
    </w:pPr>
  </w:style>
  <w:style w:type="character" w:styleId="Hyperlink">
    <w:name w:val="Hyperlink"/>
    <w:basedOn w:val="DefaultParagraphFont"/>
    <w:uiPriority w:val="99"/>
    <w:semiHidden/>
    <w:unhideWhenUsed/>
    <w:rsid w:val="00584840"/>
    <w:rPr>
      <w:color w:val="0000FF"/>
      <w:u w:val="single"/>
    </w:rPr>
  </w:style>
  <w:style w:type="paragraph" w:styleId="BalloonText">
    <w:name w:val="Balloon Text"/>
    <w:basedOn w:val="Normal"/>
    <w:link w:val="BalloonTextChar"/>
    <w:uiPriority w:val="99"/>
    <w:semiHidden/>
    <w:unhideWhenUsed/>
    <w:rsid w:val="002D33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3AA"/>
    <w:rPr>
      <w:rFonts w:ascii="Segoe UI" w:hAnsi="Segoe UI" w:cs="Segoe UI"/>
      <w:sz w:val="18"/>
      <w:szCs w:val="18"/>
    </w:rPr>
  </w:style>
  <w:style w:type="character" w:styleId="CommentReference">
    <w:name w:val="annotation reference"/>
    <w:basedOn w:val="DefaultParagraphFont"/>
    <w:uiPriority w:val="99"/>
    <w:semiHidden/>
    <w:unhideWhenUsed/>
    <w:rsid w:val="0016593F"/>
    <w:rPr>
      <w:sz w:val="16"/>
      <w:szCs w:val="16"/>
    </w:rPr>
  </w:style>
  <w:style w:type="paragraph" w:styleId="CommentText">
    <w:name w:val="annotation text"/>
    <w:basedOn w:val="Normal"/>
    <w:link w:val="CommentTextChar"/>
    <w:uiPriority w:val="99"/>
    <w:semiHidden/>
    <w:unhideWhenUsed/>
    <w:rsid w:val="0016593F"/>
    <w:pPr>
      <w:spacing w:line="240" w:lineRule="auto"/>
    </w:pPr>
    <w:rPr>
      <w:sz w:val="20"/>
      <w:szCs w:val="20"/>
    </w:rPr>
  </w:style>
  <w:style w:type="character" w:customStyle="1" w:styleId="CommentTextChar">
    <w:name w:val="Comment Text Char"/>
    <w:basedOn w:val="DefaultParagraphFont"/>
    <w:link w:val="CommentText"/>
    <w:uiPriority w:val="99"/>
    <w:semiHidden/>
    <w:rsid w:val="0016593F"/>
    <w:rPr>
      <w:sz w:val="20"/>
      <w:szCs w:val="20"/>
    </w:rPr>
  </w:style>
  <w:style w:type="paragraph" w:styleId="CommentSubject">
    <w:name w:val="annotation subject"/>
    <w:basedOn w:val="CommentText"/>
    <w:next w:val="CommentText"/>
    <w:link w:val="CommentSubjectChar"/>
    <w:uiPriority w:val="99"/>
    <w:semiHidden/>
    <w:unhideWhenUsed/>
    <w:rsid w:val="0016593F"/>
    <w:rPr>
      <w:b/>
      <w:bCs/>
    </w:rPr>
  </w:style>
  <w:style w:type="character" w:customStyle="1" w:styleId="CommentSubjectChar">
    <w:name w:val="Comment Subject Char"/>
    <w:basedOn w:val="CommentTextChar"/>
    <w:link w:val="CommentSubject"/>
    <w:uiPriority w:val="99"/>
    <w:semiHidden/>
    <w:rsid w:val="001659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ssex.gov.uk/supply-the-counci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contracts-finder" TargetMode="External"/><Relationship Id="rId5" Type="http://schemas.openxmlformats.org/officeDocument/2006/relationships/styles" Target="styles.xml"/><Relationship Id="rId10" Type="http://schemas.openxmlformats.org/officeDocument/2006/relationships/hyperlink" Target="https://simap.ted.europa.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0E4FEFF5BF2C4EB361285232F3C10E" ma:contentTypeVersion="4" ma:contentTypeDescription="Create a new document." ma:contentTypeScope="" ma:versionID="e2373aec652647858279e4fa20958b2f">
  <xsd:schema xmlns:xsd="http://www.w3.org/2001/XMLSchema" xmlns:xs="http://www.w3.org/2001/XMLSchema" xmlns:p="http://schemas.microsoft.com/office/2006/metadata/properties" xmlns:ns2="7c557e37-a650-4cf0-bfb8-16d67cf7a56e" targetNamespace="http://schemas.microsoft.com/office/2006/metadata/properties" ma:root="true" ma:fieldsID="f403bf6cec39e88c71c40876a39065b2" ns2:_="">
    <xsd:import namespace="7c557e37-a650-4cf0-bfb8-16d67cf7a5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57e37-a650-4cf0-bfb8-16d67cf7a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0F26BB-75BA-43A3-BF30-3217F3393000}">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c557e37-a650-4cf0-bfb8-16d67cf7a56e"/>
    <ds:schemaRef ds:uri="http://www.w3.org/XML/1998/namespace"/>
  </ds:schemaRefs>
</ds:datastoreItem>
</file>

<file path=customXml/itemProps2.xml><?xml version="1.0" encoding="utf-8"?>
<ds:datastoreItem xmlns:ds="http://schemas.openxmlformats.org/officeDocument/2006/customXml" ds:itemID="{234376D8-2BE0-402F-AB0F-B3E1D7E04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557e37-a650-4cf0-bfb8-16d67cf7a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539B32-3200-47EA-9D32-E5BB190E08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1453</Words>
  <Characters>8286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Green, Category and Contract Manager</dc:creator>
  <cp:keywords/>
  <dc:description/>
  <cp:lastModifiedBy>Nick Green, Category and Contract Manager</cp:lastModifiedBy>
  <cp:revision>2</cp:revision>
  <dcterms:created xsi:type="dcterms:W3CDTF">2020-06-04T09:19:00Z</dcterms:created>
  <dcterms:modified xsi:type="dcterms:W3CDTF">2020-06-04T09:19:00Z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0x010100530E4FEFF5BF2C4EB361285232F3C10E</vt:lpwstr>
  </property>
</Properties>
</file>