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404"/>
        <w:tblW w:w="0" w:type="auto"/>
        <w:tblBorders>
          <w:top w:val="double" w:sz="4" w:space="0" w:color="9B57D3"/>
          <w:left w:val="double" w:sz="4" w:space="0" w:color="9B57D3"/>
          <w:bottom w:val="double" w:sz="4" w:space="0" w:color="9B57D3"/>
          <w:right w:val="double" w:sz="4" w:space="0" w:color="9B57D3"/>
          <w:insideH w:val="double" w:sz="4" w:space="0" w:color="9B57D3"/>
          <w:insideV w:val="double" w:sz="4" w:space="0" w:color="9B57D3"/>
        </w:tblBorders>
        <w:tblLook w:val="0000" w:firstRow="0" w:lastRow="0" w:firstColumn="0" w:lastColumn="0" w:noHBand="0" w:noVBand="0"/>
      </w:tblPr>
      <w:tblGrid>
        <w:gridCol w:w="2664"/>
        <w:gridCol w:w="1432"/>
        <w:gridCol w:w="4494"/>
      </w:tblGrid>
      <w:tr w:rsidR="009B0834" w:rsidRPr="009B0834" w14:paraId="6EEFDF8A" w14:textId="77777777" w:rsidTr="001568FC">
        <w:trPr>
          <w:trHeight w:val="396"/>
        </w:trPr>
        <w:tc>
          <w:tcPr>
            <w:tcW w:w="8590" w:type="dxa"/>
            <w:gridSpan w:val="3"/>
          </w:tcPr>
          <w:p w14:paraId="20DD9027" w14:textId="40E06334" w:rsidR="009B0834" w:rsidRPr="00754CDA" w:rsidRDefault="00754CDA" w:rsidP="00754CDA">
            <w:pPr>
              <w:jc w:val="center"/>
              <w:rPr>
                <w:rFonts w:cstheme="minorHAnsi"/>
                <w:b/>
                <w:bCs/>
                <w:sz w:val="32"/>
                <w:szCs w:val="32"/>
              </w:rPr>
            </w:pPr>
            <w:r w:rsidRPr="00754CDA">
              <w:rPr>
                <w:rFonts w:cstheme="minorHAnsi"/>
                <w:b/>
                <w:bCs/>
                <w:sz w:val="32"/>
                <w:szCs w:val="32"/>
              </w:rPr>
              <w:t>Autism Reality Experience for AWD Providers</w:t>
            </w:r>
          </w:p>
        </w:tc>
      </w:tr>
      <w:tr w:rsidR="009B0834" w:rsidRPr="00C507DB" w14:paraId="04B954E5" w14:textId="77777777" w:rsidTr="001568FC">
        <w:trPr>
          <w:trHeight w:val="1523"/>
        </w:trPr>
        <w:tc>
          <w:tcPr>
            <w:tcW w:w="8590" w:type="dxa"/>
            <w:gridSpan w:val="3"/>
          </w:tcPr>
          <w:p w14:paraId="045846C9" w14:textId="77777777" w:rsidR="00C507DB" w:rsidRPr="00C507DB" w:rsidRDefault="00C507DB" w:rsidP="00C507DB">
            <w:pPr>
              <w:pStyle w:val="NormalWeb"/>
              <w:shd w:val="clear" w:color="auto" w:fill="FFFFFF"/>
              <w:spacing w:before="0" w:beforeAutospacing="0" w:after="0" w:afterAutospacing="0" w:line="300" w:lineRule="atLeast"/>
              <w:rPr>
                <w:rFonts w:asciiTheme="minorHAnsi" w:hAnsiTheme="minorHAnsi" w:cstheme="minorHAnsi"/>
                <w:color w:val="171717"/>
                <w:sz w:val="22"/>
                <w:szCs w:val="22"/>
                <w:bdr w:val="none" w:sz="0" w:space="0" w:color="auto" w:frame="1"/>
              </w:rPr>
            </w:pPr>
            <w:r w:rsidRPr="00C507DB">
              <w:rPr>
                <w:rFonts w:asciiTheme="minorHAnsi" w:hAnsiTheme="minorHAnsi" w:cstheme="minorHAnsi"/>
                <w:color w:val="171717"/>
                <w:sz w:val="22"/>
                <w:szCs w:val="22"/>
                <w:bdr w:val="none" w:sz="0" w:space="0" w:color="auto" w:frame="1"/>
              </w:rPr>
              <w:t>The </w:t>
            </w:r>
            <w:r w:rsidRPr="00C507DB">
              <w:rPr>
                <w:rFonts w:asciiTheme="minorHAnsi" w:hAnsiTheme="minorHAnsi" w:cstheme="minorHAnsi"/>
                <w:b/>
                <w:bCs/>
                <w:color w:val="171717"/>
                <w:sz w:val="22"/>
                <w:szCs w:val="22"/>
                <w:bdr w:val="none" w:sz="0" w:space="0" w:color="auto" w:frame="1"/>
              </w:rPr>
              <w:t>Autism Reality Experience</w:t>
            </w:r>
            <w:r w:rsidRPr="00C507DB">
              <w:rPr>
                <w:rFonts w:asciiTheme="minorHAnsi" w:hAnsiTheme="minorHAnsi" w:cstheme="minorHAnsi"/>
                <w:color w:val="171717"/>
                <w:sz w:val="22"/>
                <w:szCs w:val="22"/>
                <w:bdr w:val="none" w:sz="0" w:space="0" w:color="auto" w:frame="1"/>
              </w:rPr>
              <w:t> is an innovative, immersive and hands on training which has been developed to give neurotypical people an opportunity to enter the neurodiverse world and experience the sensory processing difficulties faced by people on the autism spectrum.</w:t>
            </w:r>
          </w:p>
          <w:p w14:paraId="7A21CD00" w14:textId="4A60F308" w:rsidR="00C507DB" w:rsidRPr="00C507DB" w:rsidRDefault="00C507DB" w:rsidP="00C507DB">
            <w:pPr>
              <w:pStyle w:val="NormalWeb"/>
              <w:shd w:val="clear" w:color="auto" w:fill="FFFFFF"/>
              <w:spacing w:before="0" w:beforeAutospacing="0" w:after="0" w:afterAutospacing="0" w:line="300" w:lineRule="atLeast"/>
              <w:rPr>
                <w:rFonts w:asciiTheme="minorHAnsi" w:hAnsiTheme="minorHAnsi" w:cstheme="minorHAnsi"/>
                <w:color w:val="171717"/>
                <w:sz w:val="22"/>
                <w:szCs w:val="22"/>
              </w:rPr>
            </w:pPr>
            <w:r w:rsidRPr="00C507DB">
              <w:rPr>
                <w:rFonts w:asciiTheme="minorHAnsi" w:hAnsiTheme="minorHAnsi" w:cstheme="minorHAnsi"/>
                <w:color w:val="171717"/>
                <w:sz w:val="22"/>
                <w:szCs w:val="22"/>
                <w:bdr w:val="none" w:sz="0" w:space="0" w:color="auto" w:frame="1"/>
              </w:rPr>
              <w:t> </w:t>
            </w:r>
          </w:p>
          <w:p w14:paraId="7DC26531" w14:textId="77777777" w:rsidR="00C507DB" w:rsidRPr="00C507DB" w:rsidRDefault="00C507DB" w:rsidP="00C507DB">
            <w:pPr>
              <w:pStyle w:val="NormalWeb"/>
              <w:shd w:val="clear" w:color="auto" w:fill="FFFFFF"/>
              <w:spacing w:before="0" w:beforeAutospacing="0" w:after="0" w:afterAutospacing="0" w:line="300" w:lineRule="atLeast"/>
              <w:rPr>
                <w:rFonts w:asciiTheme="minorHAnsi" w:hAnsiTheme="minorHAnsi" w:cstheme="minorHAnsi"/>
                <w:color w:val="171717"/>
                <w:sz w:val="22"/>
                <w:szCs w:val="22"/>
              </w:rPr>
            </w:pPr>
            <w:r w:rsidRPr="00C507DB">
              <w:rPr>
                <w:rFonts w:asciiTheme="minorHAnsi" w:hAnsiTheme="minorHAnsi" w:cstheme="minorHAnsi"/>
                <w:color w:val="171717"/>
                <w:sz w:val="22"/>
                <w:szCs w:val="22"/>
                <w:bdr w:val="none" w:sz="0" w:space="0" w:color="auto" w:frame="1"/>
              </w:rPr>
              <w:t>Invented by </w:t>
            </w:r>
            <w:r w:rsidRPr="00C507DB">
              <w:rPr>
                <w:rFonts w:asciiTheme="minorHAnsi" w:hAnsiTheme="minorHAnsi" w:cstheme="minorHAnsi"/>
                <w:b/>
                <w:bCs/>
                <w:color w:val="171717"/>
                <w:sz w:val="22"/>
                <w:szCs w:val="22"/>
                <w:bdr w:val="none" w:sz="0" w:space="0" w:color="auto" w:frame="1"/>
              </w:rPr>
              <w:t>Training 2 CARE’s CEO Glenn Knight and 150 Autistic people</w:t>
            </w:r>
            <w:r w:rsidRPr="00C507DB">
              <w:rPr>
                <w:rFonts w:asciiTheme="minorHAnsi" w:hAnsiTheme="minorHAnsi" w:cstheme="minorHAnsi"/>
                <w:color w:val="171717"/>
                <w:sz w:val="22"/>
                <w:szCs w:val="22"/>
                <w:bdr w:val="none" w:sz="0" w:space="0" w:color="auto" w:frame="1"/>
              </w:rPr>
              <w:t>, the Autism Reality Experience truly puts the challenges that people with autism experience face into perspective to embed empathy, understanding and inclusive support.</w:t>
            </w:r>
          </w:p>
          <w:p w14:paraId="25B11418" w14:textId="77777777" w:rsidR="00C507DB" w:rsidRPr="00C507DB" w:rsidRDefault="00C507DB" w:rsidP="00C507DB">
            <w:pPr>
              <w:pStyle w:val="NormalWeb"/>
              <w:shd w:val="clear" w:color="auto" w:fill="FFFFFF"/>
              <w:spacing w:before="0" w:beforeAutospacing="0" w:after="0" w:afterAutospacing="0" w:line="300" w:lineRule="atLeast"/>
              <w:rPr>
                <w:rFonts w:asciiTheme="minorHAnsi" w:hAnsiTheme="minorHAnsi" w:cstheme="minorHAnsi"/>
                <w:color w:val="171717"/>
                <w:sz w:val="22"/>
                <w:szCs w:val="22"/>
              </w:rPr>
            </w:pPr>
            <w:r w:rsidRPr="00C507DB">
              <w:rPr>
                <w:rFonts w:asciiTheme="minorHAnsi" w:hAnsiTheme="minorHAnsi" w:cstheme="minorHAnsi"/>
                <w:color w:val="171717"/>
                <w:sz w:val="22"/>
                <w:szCs w:val="22"/>
                <w:bdr w:val="none" w:sz="0" w:space="0" w:color="auto" w:frame="1"/>
              </w:rPr>
              <w:t>The ‘ARE’ challenges normal thinking and directly confronts you with the profound impact of the environment, communication and much more.  As a delegate, you will feel the impact of:</w:t>
            </w:r>
          </w:p>
          <w:p w14:paraId="155CA9F9" w14:textId="77777777" w:rsidR="00C507DB" w:rsidRPr="00C507DB" w:rsidRDefault="00C507DB" w:rsidP="00C507DB">
            <w:pPr>
              <w:pStyle w:val="NormalWeb"/>
              <w:numPr>
                <w:ilvl w:val="0"/>
                <w:numId w:val="2"/>
              </w:numPr>
              <w:shd w:val="clear" w:color="auto" w:fill="FFFFFF"/>
              <w:spacing w:before="0" w:beforeAutospacing="0" w:after="0" w:afterAutospacing="0" w:line="300" w:lineRule="atLeast"/>
              <w:ind w:left="1020"/>
              <w:rPr>
                <w:rFonts w:asciiTheme="minorHAnsi" w:hAnsiTheme="minorHAnsi" w:cstheme="minorHAnsi"/>
                <w:color w:val="000000"/>
                <w:sz w:val="22"/>
                <w:szCs w:val="22"/>
              </w:rPr>
            </w:pPr>
            <w:r w:rsidRPr="00C507DB">
              <w:rPr>
                <w:rFonts w:asciiTheme="minorHAnsi" w:hAnsiTheme="minorHAnsi" w:cstheme="minorHAnsi"/>
                <w:color w:val="000000"/>
                <w:sz w:val="22"/>
                <w:szCs w:val="22"/>
                <w:bdr w:val="none" w:sz="0" w:space="0" w:color="auto" w:frame="1"/>
              </w:rPr>
              <w:t>Hypersensitivity to the sensory environment</w:t>
            </w:r>
          </w:p>
          <w:p w14:paraId="1EF1735A" w14:textId="77777777" w:rsidR="00C507DB" w:rsidRPr="00C507DB" w:rsidRDefault="00C507DB" w:rsidP="00C507DB">
            <w:pPr>
              <w:pStyle w:val="NormalWeb"/>
              <w:numPr>
                <w:ilvl w:val="0"/>
                <w:numId w:val="2"/>
              </w:numPr>
              <w:shd w:val="clear" w:color="auto" w:fill="FFFFFF"/>
              <w:spacing w:before="0" w:beforeAutospacing="0" w:after="0" w:afterAutospacing="0" w:line="300" w:lineRule="atLeast"/>
              <w:ind w:left="1020"/>
              <w:rPr>
                <w:rFonts w:asciiTheme="minorHAnsi" w:hAnsiTheme="minorHAnsi" w:cstheme="minorHAnsi"/>
                <w:color w:val="000000"/>
                <w:sz w:val="22"/>
                <w:szCs w:val="22"/>
              </w:rPr>
            </w:pPr>
            <w:r w:rsidRPr="00C507DB">
              <w:rPr>
                <w:rFonts w:asciiTheme="minorHAnsi" w:hAnsiTheme="minorHAnsi" w:cstheme="minorHAnsi"/>
                <w:color w:val="000000"/>
                <w:sz w:val="22"/>
                <w:szCs w:val="22"/>
                <w:bdr w:val="none" w:sz="0" w:space="0" w:color="auto" w:frame="1"/>
              </w:rPr>
              <w:t>How it feels to become overwhelmed</w:t>
            </w:r>
          </w:p>
          <w:p w14:paraId="2FE2F885" w14:textId="77777777" w:rsidR="00C507DB" w:rsidRPr="00C507DB" w:rsidRDefault="00C507DB" w:rsidP="00C507DB">
            <w:pPr>
              <w:pStyle w:val="NormalWeb"/>
              <w:numPr>
                <w:ilvl w:val="0"/>
                <w:numId w:val="2"/>
              </w:numPr>
              <w:shd w:val="clear" w:color="auto" w:fill="FFFFFF"/>
              <w:spacing w:before="0" w:beforeAutospacing="0" w:after="0" w:afterAutospacing="0" w:line="300" w:lineRule="atLeast"/>
              <w:ind w:left="1020"/>
              <w:rPr>
                <w:rFonts w:asciiTheme="minorHAnsi" w:hAnsiTheme="minorHAnsi" w:cstheme="minorHAnsi"/>
                <w:color w:val="000000"/>
                <w:sz w:val="22"/>
                <w:szCs w:val="22"/>
              </w:rPr>
            </w:pPr>
            <w:r w:rsidRPr="00C507DB">
              <w:rPr>
                <w:rFonts w:asciiTheme="minorHAnsi" w:hAnsiTheme="minorHAnsi" w:cstheme="minorHAnsi"/>
                <w:color w:val="000000"/>
                <w:sz w:val="22"/>
                <w:szCs w:val="22"/>
                <w:bdr w:val="none" w:sz="0" w:space="0" w:color="auto" w:frame="1"/>
              </w:rPr>
              <w:t>Proprioceptive hyposensitivity</w:t>
            </w:r>
          </w:p>
          <w:p w14:paraId="3164E254" w14:textId="77777777" w:rsidR="00C507DB" w:rsidRPr="00C507DB" w:rsidRDefault="00C507DB" w:rsidP="00C507DB">
            <w:pPr>
              <w:pStyle w:val="NormalWeb"/>
              <w:numPr>
                <w:ilvl w:val="0"/>
                <w:numId w:val="2"/>
              </w:numPr>
              <w:shd w:val="clear" w:color="auto" w:fill="FFFFFF"/>
              <w:spacing w:before="0" w:beforeAutospacing="0" w:after="0" w:afterAutospacing="0" w:line="300" w:lineRule="atLeast"/>
              <w:ind w:left="1020"/>
              <w:rPr>
                <w:rFonts w:asciiTheme="minorHAnsi" w:hAnsiTheme="minorHAnsi" w:cstheme="minorHAnsi"/>
                <w:color w:val="000000"/>
                <w:sz w:val="22"/>
                <w:szCs w:val="22"/>
              </w:rPr>
            </w:pPr>
            <w:r w:rsidRPr="00C507DB">
              <w:rPr>
                <w:rFonts w:asciiTheme="minorHAnsi" w:hAnsiTheme="minorHAnsi" w:cstheme="minorHAnsi"/>
                <w:color w:val="000000"/>
                <w:sz w:val="22"/>
                <w:szCs w:val="22"/>
                <w:bdr w:val="none" w:sz="0" w:space="0" w:color="auto" w:frame="1"/>
              </w:rPr>
              <w:t>Vestibular hypersensitivity</w:t>
            </w:r>
          </w:p>
          <w:p w14:paraId="064B8C75" w14:textId="77777777" w:rsidR="00C507DB" w:rsidRPr="00C507DB" w:rsidRDefault="00C507DB" w:rsidP="00C507DB">
            <w:pPr>
              <w:pStyle w:val="NormalWeb"/>
              <w:numPr>
                <w:ilvl w:val="0"/>
                <w:numId w:val="2"/>
              </w:numPr>
              <w:shd w:val="clear" w:color="auto" w:fill="FFFFFF"/>
              <w:spacing w:before="0" w:beforeAutospacing="0" w:after="0" w:afterAutospacing="0" w:line="300" w:lineRule="atLeast"/>
              <w:ind w:left="1020"/>
              <w:rPr>
                <w:rFonts w:asciiTheme="minorHAnsi" w:hAnsiTheme="minorHAnsi" w:cstheme="minorHAnsi"/>
                <w:color w:val="000000"/>
                <w:sz w:val="22"/>
                <w:szCs w:val="22"/>
              </w:rPr>
            </w:pPr>
            <w:r w:rsidRPr="00C507DB">
              <w:rPr>
                <w:rFonts w:asciiTheme="minorHAnsi" w:hAnsiTheme="minorHAnsi" w:cstheme="minorHAnsi"/>
                <w:color w:val="000000"/>
                <w:sz w:val="22"/>
                <w:szCs w:val="22"/>
                <w:bdr w:val="none" w:sz="0" w:space="0" w:color="auto" w:frame="1"/>
              </w:rPr>
              <w:t>Difficulty processing language and instructions</w:t>
            </w:r>
          </w:p>
          <w:p w14:paraId="1B58131D" w14:textId="77777777" w:rsidR="00C507DB" w:rsidRPr="00C507DB" w:rsidRDefault="00C507DB" w:rsidP="00C507DB">
            <w:pPr>
              <w:pStyle w:val="NormalWeb"/>
              <w:numPr>
                <w:ilvl w:val="0"/>
                <w:numId w:val="2"/>
              </w:numPr>
              <w:shd w:val="clear" w:color="auto" w:fill="FFFFFF"/>
              <w:spacing w:before="0" w:beforeAutospacing="0" w:after="0" w:afterAutospacing="0" w:line="300" w:lineRule="atLeast"/>
              <w:ind w:left="1020"/>
              <w:rPr>
                <w:rFonts w:asciiTheme="minorHAnsi" w:hAnsiTheme="minorHAnsi" w:cstheme="minorHAnsi"/>
                <w:color w:val="000000"/>
                <w:sz w:val="22"/>
                <w:szCs w:val="22"/>
              </w:rPr>
            </w:pPr>
            <w:r w:rsidRPr="00C507DB">
              <w:rPr>
                <w:rFonts w:asciiTheme="minorHAnsi" w:hAnsiTheme="minorHAnsi" w:cstheme="minorHAnsi"/>
                <w:color w:val="000000"/>
                <w:sz w:val="22"/>
                <w:szCs w:val="22"/>
                <w:bdr w:val="none" w:sz="0" w:space="0" w:color="auto" w:frame="1"/>
              </w:rPr>
              <w:t>Flexibility of thought issues</w:t>
            </w:r>
          </w:p>
          <w:p w14:paraId="1CE1F244" w14:textId="77777777" w:rsidR="00C507DB" w:rsidRPr="00C507DB" w:rsidRDefault="00C507DB" w:rsidP="00C507DB">
            <w:pPr>
              <w:pStyle w:val="NormalWeb"/>
              <w:numPr>
                <w:ilvl w:val="0"/>
                <w:numId w:val="2"/>
              </w:numPr>
              <w:shd w:val="clear" w:color="auto" w:fill="FFFFFF"/>
              <w:spacing w:before="0" w:beforeAutospacing="0" w:after="0" w:afterAutospacing="0" w:line="300" w:lineRule="atLeast"/>
              <w:ind w:left="1020"/>
              <w:rPr>
                <w:rFonts w:asciiTheme="minorHAnsi" w:hAnsiTheme="minorHAnsi" w:cstheme="minorHAnsi"/>
                <w:color w:val="000000"/>
                <w:sz w:val="22"/>
                <w:szCs w:val="22"/>
              </w:rPr>
            </w:pPr>
            <w:r w:rsidRPr="00C507DB">
              <w:rPr>
                <w:rFonts w:asciiTheme="minorHAnsi" w:hAnsiTheme="minorHAnsi" w:cstheme="minorHAnsi"/>
                <w:color w:val="000000"/>
                <w:sz w:val="22"/>
                <w:szCs w:val="22"/>
                <w:bdr w:val="none" w:sz="0" w:space="0" w:color="auto" w:frame="1"/>
              </w:rPr>
              <w:t xml:space="preserve">Being in an environment that doesn’t account for your </w:t>
            </w:r>
            <w:proofErr w:type="gramStart"/>
            <w:r w:rsidRPr="00C507DB">
              <w:rPr>
                <w:rFonts w:asciiTheme="minorHAnsi" w:hAnsiTheme="minorHAnsi" w:cstheme="minorHAnsi"/>
                <w:color w:val="000000"/>
                <w:sz w:val="22"/>
                <w:szCs w:val="22"/>
                <w:bdr w:val="none" w:sz="0" w:space="0" w:color="auto" w:frame="1"/>
              </w:rPr>
              <w:t>needs</w:t>
            </w:r>
            <w:proofErr w:type="gramEnd"/>
          </w:p>
          <w:p w14:paraId="25EDC1C2" w14:textId="77777777" w:rsidR="00C507DB" w:rsidRPr="00C507DB" w:rsidRDefault="00C507DB" w:rsidP="009B0834">
            <w:pPr>
              <w:rPr>
                <w:rFonts w:cstheme="minorHAnsi"/>
                <w:b/>
                <w:bCs/>
              </w:rPr>
            </w:pPr>
          </w:p>
          <w:p w14:paraId="2C166603" w14:textId="0E36A453" w:rsidR="00C507DB" w:rsidRPr="00C507DB" w:rsidRDefault="00C507DB" w:rsidP="009B0834">
            <w:pPr>
              <w:rPr>
                <w:rFonts w:cstheme="minorHAnsi"/>
                <w:b/>
                <w:bCs/>
                <w:color w:val="FF0000"/>
              </w:rPr>
            </w:pPr>
            <w:r w:rsidRPr="00C507DB">
              <w:rPr>
                <w:rFonts w:cstheme="minorHAnsi"/>
                <w:b/>
                <w:bCs/>
                <w:color w:val="FF0000"/>
              </w:rPr>
              <w:t>Attendees will be required to complete a medical disclaimer to take part in the experience.</w:t>
            </w:r>
            <w:bookmarkStart w:id="0" w:name="_MON_1797327383"/>
            <w:bookmarkEnd w:id="0"/>
            <w:r w:rsidRPr="00C507DB">
              <w:rPr>
                <w:rFonts w:cstheme="minorHAnsi"/>
              </w:rPr>
              <w:object w:dxaOrig="1508" w:dyaOrig="982" w14:anchorId="2D31A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1" o:title=""/>
                </v:shape>
                <o:OLEObject Type="Embed" ProgID="Word.Document.12" ShapeID="_x0000_i1025" DrawAspect="Icon" ObjectID="_1797327561" r:id="rId12">
                  <o:FieldCodes>\s</o:FieldCodes>
                </o:OLEObject>
              </w:object>
            </w:r>
            <w:r w:rsidRPr="00C507DB">
              <w:rPr>
                <w:rFonts w:cstheme="minorHAnsi"/>
                <w:b/>
                <w:bCs/>
                <w:color w:val="FF0000"/>
              </w:rPr>
              <w:t xml:space="preserve">. Please note those who are pregnant cannot take part. </w:t>
            </w:r>
          </w:p>
          <w:p w14:paraId="035F93E4" w14:textId="49A04E6F" w:rsidR="00B47B75" w:rsidRPr="00C507DB" w:rsidRDefault="00754CDA" w:rsidP="009B0834">
            <w:pPr>
              <w:rPr>
                <w:rFonts w:cstheme="minorHAnsi"/>
              </w:rPr>
            </w:pPr>
            <w:r w:rsidRPr="00C507DB">
              <w:rPr>
                <w:rFonts w:cstheme="minorHAnsi"/>
                <w:b/>
                <w:bCs/>
              </w:rPr>
              <w:t>Two</w:t>
            </w:r>
            <w:r w:rsidR="001A01B2" w:rsidRPr="00C507DB">
              <w:rPr>
                <w:rFonts w:cstheme="minorHAnsi"/>
                <w:b/>
                <w:bCs/>
              </w:rPr>
              <w:t xml:space="preserve"> spaces</w:t>
            </w:r>
            <w:r w:rsidR="001A01B2" w:rsidRPr="00C507DB">
              <w:rPr>
                <w:rFonts w:cstheme="minorHAnsi"/>
              </w:rPr>
              <w:t xml:space="preserve"> per </w:t>
            </w:r>
            <w:r w:rsidRPr="00C507DB">
              <w:rPr>
                <w:rFonts w:cstheme="minorHAnsi"/>
              </w:rPr>
              <w:t>registered service</w:t>
            </w:r>
            <w:r w:rsidR="001A01B2" w:rsidRPr="00C507DB">
              <w:rPr>
                <w:rFonts w:cstheme="minorHAnsi"/>
              </w:rPr>
              <w:t xml:space="preserve">. </w:t>
            </w:r>
            <w:r w:rsidR="001A01B2" w:rsidRPr="00C507DB">
              <w:rPr>
                <w:rFonts w:eastAsia="Times New Roman" w:cstheme="minorHAnsi"/>
                <w:color w:val="242424"/>
                <w:kern w:val="0"/>
                <w:lang w:eastAsia="en-GB"/>
                <w14:ligatures w14:val="none"/>
              </w:rPr>
              <w:t xml:space="preserve"> </w:t>
            </w:r>
            <w:r w:rsidRPr="00C507DB">
              <w:rPr>
                <w:rFonts w:eastAsia="Times New Roman" w:cstheme="minorHAnsi"/>
                <w:color w:val="242424"/>
                <w:kern w:val="0"/>
                <w:lang w:eastAsia="en-GB"/>
                <w14:ligatures w14:val="none"/>
              </w:rPr>
              <w:t xml:space="preserve">There will be two sessions running on each date. Please detail the preferred date and session time in the booking grid. </w:t>
            </w:r>
            <w:r w:rsidR="001A01B2" w:rsidRPr="00C507DB">
              <w:rPr>
                <w:rFonts w:eastAsia="Times New Roman" w:cstheme="minorHAnsi"/>
                <w:color w:val="242424"/>
                <w:kern w:val="0"/>
                <w:lang w:eastAsia="en-GB"/>
                <w14:ligatures w14:val="none"/>
              </w:rPr>
              <w:t>Th</w:t>
            </w:r>
            <w:r w:rsidR="00FB3CC2" w:rsidRPr="00C507DB">
              <w:rPr>
                <w:rFonts w:eastAsia="Times New Roman" w:cstheme="minorHAnsi"/>
                <w:color w:val="242424"/>
                <w:kern w:val="0"/>
                <w:lang w:eastAsia="en-GB"/>
                <w14:ligatures w14:val="none"/>
              </w:rPr>
              <w:t>e</w:t>
            </w:r>
            <w:r w:rsidR="001A01B2" w:rsidRPr="00C507DB">
              <w:rPr>
                <w:rFonts w:eastAsia="Times New Roman" w:cstheme="minorHAnsi"/>
                <w:color w:val="242424"/>
                <w:kern w:val="0"/>
                <w:lang w:eastAsia="en-GB"/>
                <w14:ligatures w14:val="none"/>
              </w:rPr>
              <w:t xml:space="preserve"> session</w:t>
            </w:r>
            <w:r w:rsidRPr="00C507DB">
              <w:rPr>
                <w:rFonts w:eastAsia="Times New Roman" w:cstheme="minorHAnsi"/>
                <w:color w:val="242424"/>
                <w:kern w:val="0"/>
                <w:lang w:eastAsia="en-GB"/>
                <w14:ligatures w14:val="none"/>
              </w:rPr>
              <w:t>s</w:t>
            </w:r>
            <w:r w:rsidR="001A01B2" w:rsidRPr="00C507DB">
              <w:rPr>
                <w:rFonts w:eastAsia="Times New Roman" w:cstheme="minorHAnsi"/>
                <w:color w:val="242424"/>
                <w:kern w:val="0"/>
                <w:lang w:eastAsia="en-GB"/>
                <w14:ligatures w14:val="none"/>
              </w:rPr>
              <w:t xml:space="preserve"> will start promptly at </w:t>
            </w:r>
            <w:r w:rsidRPr="00C507DB">
              <w:rPr>
                <w:rFonts w:eastAsia="Times New Roman" w:cstheme="minorHAnsi"/>
                <w:color w:val="242424"/>
                <w:kern w:val="0"/>
                <w:lang w:eastAsia="en-GB"/>
                <w14:ligatures w14:val="none"/>
              </w:rPr>
              <w:t>10:00 and 13:30</w:t>
            </w:r>
            <w:r w:rsidR="001A01B2" w:rsidRPr="00C507DB">
              <w:rPr>
                <w:rFonts w:eastAsia="Times New Roman" w:cstheme="minorHAnsi"/>
                <w:color w:val="242424"/>
                <w:kern w:val="0"/>
                <w:lang w:eastAsia="en-GB"/>
                <w14:ligatures w14:val="none"/>
              </w:rPr>
              <w:t xml:space="preserve"> please arrive early to allow time for registration. </w:t>
            </w:r>
            <w:r w:rsidRPr="00C507DB">
              <w:rPr>
                <w:rFonts w:eastAsia="Times New Roman" w:cstheme="minorHAnsi"/>
                <w:color w:val="242424"/>
                <w:kern w:val="0"/>
                <w:lang w:eastAsia="en-GB"/>
                <w14:ligatures w14:val="none"/>
              </w:rPr>
              <w:t xml:space="preserve">Entry </w:t>
            </w:r>
            <w:r w:rsidR="001A01B2" w:rsidRPr="00C507DB">
              <w:rPr>
                <w:rFonts w:eastAsia="Times New Roman" w:cstheme="minorHAnsi"/>
                <w:color w:val="242424"/>
                <w:kern w:val="0"/>
                <w:lang w:eastAsia="en-GB"/>
                <w14:ligatures w14:val="none"/>
              </w:rPr>
              <w:t>will not be permitted once the session has started.</w:t>
            </w:r>
          </w:p>
        </w:tc>
      </w:tr>
      <w:tr w:rsidR="009B0834" w:rsidRPr="00C507DB" w14:paraId="09E74222" w14:textId="77777777" w:rsidTr="001568FC">
        <w:trPr>
          <w:trHeight w:val="1060"/>
        </w:trPr>
        <w:tc>
          <w:tcPr>
            <w:tcW w:w="2664" w:type="dxa"/>
          </w:tcPr>
          <w:p w14:paraId="441136C5" w14:textId="77777777" w:rsidR="009B0834" w:rsidRPr="00C507DB" w:rsidRDefault="009B0834" w:rsidP="009B0834">
            <w:pPr>
              <w:rPr>
                <w:rFonts w:cstheme="minorHAnsi"/>
              </w:rPr>
            </w:pPr>
            <w:r w:rsidRPr="00C507DB">
              <w:rPr>
                <w:rFonts w:cstheme="minorHAnsi"/>
              </w:rPr>
              <w:t>Date</w:t>
            </w:r>
            <w:r w:rsidR="00071B07" w:rsidRPr="00C507DB">
              <w:rPr>
                <w:rFonts w:cstheme="minorHAnsi"/>
              </w:rPr>
              <w:t>s</w:t>
            </w:r>
          </w:p>
          <w:p w14:paraId="5BE8F1FC" w14:textId="77777777" w:rsidR="00754CDA" w:rsidRPr="00C507DB" w:rsidRDefault="00754CDA" w:rsidP="009B0834">
            <w:pPr>
              <w:rPr>
                <w:rFonts w:cstheme="minorHAnsi"/>
              </w:rPr>
            </w:pPr>
            <w:r w:rsidRPr="00C507DB">
              <w:rPr>
                <w:rFonts w:cstheme="minorHAnsi"/>
              </w:rPr>
              <w:t>Thursday 27</w:t>
            </w:r>
            <w:r w:rsidRPr="00C507DB">
              <w:rPr>
                <w:rFonts w:cstheme="minorHAnsi"/>
                <w:vertAlign w:val="superscript"/>
              </w:rPr>
              <w:t>th</w:t>
            </w:r>
            <w:r w:rsidRPr="00C507DB">
              <w:rPr>
                <w:rFonts w:cstheme="minorHAnsi"/>
              </w:rPr>
              <w:t xml:space="preserve"> February 2025</w:t>
            </w:r>
          </w:p>
          <w:p w14:paraId="66865B62" w14:textId="253CDDE2" w:rsidR="00754CDA" w:rsidRPr="00C507DB" w:rsidRDefault="00754CDA" w:rsidP="009B0834">
            <w:pPr>
              <w:rPr>
                <w:rFonts w:cstheme="minorHAnsi"/>
              </w:rPr>
            </w:pPr>
            <w:r w:rsidRPr="00C507DB">
              <w:rPr>
                <w:rFonts w:cstheme="minorHAnsi"/>
              </w:rPr>
              <w:t>Or</w:t>
            </w:r>
          </w:p>
          <w:p w14:paraId="54FA781B" w14:textId="1FF8737F" w:rsidR="00754CDA" w:rsidRPr="00C507DB" w:rsidRDefault="00754CDA" w:rsidP="009B0834">
            <w:pPr>
              <w:rPr>
                <w:rFonts w:cstheme="minorHAnsi"/>
              </w:rPr>
            </w:pPr>
            <w:r w:rsidRPr="00C507DB">
              <w:rPr>
                <w:rFonts w:cstheme="minorHAnsi"/>
              </w:rPr>
              <w:t>Tuesday 18</w:t>
            </w:r>
            <w:r w:rsidRPr="00C507DB">
              <w:rPr>
                <w:rFonts w:cstheme="minorHAnsi"/>
                <w:vertAlign w:val="superscript"/>
              </w:rPr>
              <w:t>th</w:t>
            </w:r>
            <w:r w:rsidRPr="00C507DB">
              <w:rPr>
                <w:rFonts w:cstheme="minorHAnsi"/>
              </w:rPr>
              <w:t xml:space="preserve"> March 2025</w:t>
            </w:r>
          </w:p>
        </w:tc>
        <w:tc>
          <w:tcPr>
            <w:tcW w:w="1432" w:type="dxa"/>
            <w:shd w:val="clear" w:color="auto" w:fill="auto"/>
          </w:tcPr>
          <w:p w14:paraId="4C2C7767" w14:textId="77777777" w:rsidR="009B0834" w:rsidRPr="00C507DB" w:rsidRDefault="009B0834" w:rsidP="009B0834">
            <w:pPr>
              <w:rPr>
                <w:rFonts w:cstheme="minorHAnsi"/>
              </w:rPr>
            </w:pPr>
            <w:r w:rsidRPr="00C507DB">
              <w:rPr>
                <w:rFonts w:cstheme="minorHAnsi"/>
              </w:rPr>
              <w:t>Time</w:t>
            </w:r>
            <w:r w:rsidR="00754CDA" w:rsidRPr="00C507DB">
              <w:rPr>
                <w:rFonts w:cstheme="minorHAnsi"/>
              </w:rPr>
              <w:t xml:space="preserve">s </w:t>
            </w:r>
          </w:p>
          <w:p w14:paraId="50BB4B61" w14:textId="77777777" w:rsidR="00754CDA" w:rsidRPr="00C507DB" w:rsidRDefault="00754CDA" w:rsidP="009B0834">
            <w:pPr>
              <w:rPr>
                <w:rFonts w:cstheme="minorHAnsi"/>
              </w:rPr>
            </w:pPr>
            <w:r w:rsidRPr="00C507DB">
              <w:rPr>
                <w:rFonts w:cstheme="minorHAnsi"/>
              </w:rPr>
              <w:t xml:space="preserve">10:00 – 13:00 </w:t>
            </w:r>
          </w:p>
          <w:p w14:paraId="44B12A6F" w14:textId="6586CBDA" w:rsidR="00754CDA" w:rsidRPr="00C507DB" w:rsidRDefault="00754CDA" w:rsidP="009B0834">
            <w:pPr>
              <w:rPr>
                <w:rFonts w:cstheme="minorHAnsi"/>
              </w:rPr>
            </w:pPr>
            <w:r w:rsidRPr="00C507DB">
              <w:rPr>
                <w:rFonts w:cstheme="minorHAnsi"/>
              </w:rPr>
              <w:t>Or</w:t>
            </w:r>
          </w:p>
          <w:p w14:paraId="27DE9660" w14:textId="1814655F" w:rsidR="00754CDA" w:rsidRPr="00C507DB" w:rsidRDefault="00754CDA" w:rsidP="009B0834">
            <w:pPr>
              <w:rPr>
                <w:rFonts w:cstheme="minorHAnsi"/>
              </w:rPr>
            </w:pPr>
            <w:r w:rsidRPr="00C507DB">
              <w:rPr>
                <w:rFonts w:cstheme="minorHAnsi"/>
              </w:rPr>
              <w:t>13:30 – 16:30</w:t>
            </w:r>
          </w:p>
        </w:tc>
        <w:tc>
          <w:tcPr>
            <w:tcW w:w="4494" w:type="dxa"/>
            <w:shd w:val="clear" w:color="auto" w:fill="auto"/>
          </w:tcPr>
          <w:p w14:paraId="6F418A8D" w14:textId="77777777" w:rsidR="009B0834" w:rsidRPr="00C507DB" w:rsidRDefault="009B0834" w:rsidP="009B0834">
            <w:pPr>
              <w:rPr>
                <w:rFonts w:cstheme="minorHAnsi"/>
              </w:rPr>
            </w:pPr>
            <w:r w:rsidRPr="00C507DB">
              <w:rPr>
                <w:rFonts w:cstheme="minorHAnsi"/>
              </w:rPr>
              <w:t xml:space="preserve">Venue </w:t>
            </w:r>
          </w:p>
          <w:p w14:paraId="213BB04D" w14:textId="3E72F80A" w:rsidR="00754CDA" w:rsidRPr="00C507DB" w:rsidRDefault="00754CDA" w:rsidP="009B0834">
            <w:pPr>
              <w:rPr>
                <w:rFonts w:cstheme="minorHAnsi"/>
              </w:rPr>
            </w:pPr>
            <w:r w:rsidRPr="00C507DB">
              <w:rPr>
                <w:rFonts w:cstheme="minorHAnsi"/>
              </w:rPr>
              <w:br/>
            </w:r>
            <w:r w:rsidRPr="001568FC">
              <w:rPr>
                <w:rFonts w:cstheme="minorHAnsi"/>
                <w:shd w:val="clear" w:color="auto" w:fill="FFFFFF"/>
              </w:rPr>
              <w:t>Training2Care, Spitfire Drive, The Fairways, Earls Colne, Colchester, CO6 2NS</w:t>
            </w:r>
          </w:p>
        </w:tc>
      </w:tr>
    </w:tbl>
    <w:p w14:paraId="0F6739EF" w14:textId="66D6AFB0" w:rsidR="009B0834" w:rsidRPr="00C507DB" w:rsidRDefault="009B0834">
      <w:pPr>
        <w:rPr>
          <w:rFonts w:cstheme="minorHAnsi"/>
          <w:noProof/>
        </w:rPr>
      </w:pPr>
    </w:p>
    <w:tbl>
      <w:tblPr>
        <w:tblpPr w:leftFromText="180" w:rightFromText="180" w:vertAnchor="text" w:horzAnchor="margin" w:tblpXSpec="center" w:tblpY="64"/>
        <w:tblW w:w="0" w:type="auto"/>
        <w:tblBorders>
          <w:top w:val="double" w:sz="4" w:space="0" w:color="9B57D3"/>
          <w:left w:val="double" w:sz="4" w:space="0" w:color="9B57D3"/>
          <w:bottom w:val="double" w:sz="4" w:space="0" w:color="9B57D3"/>
          <w:right w:val="double" w:sz="4" w:space="0" w:color="9B57D3"/>
          <w:insideH w:val="double" w:sz="4" w:space="0" w:color="9B57D3"/>
          <w:insideV w:val="double" w:sz="4" w:space="0" w:color="9B57D3"/>
        </w:tblBorders>
        <w:tblLook w:val="0000" w:firstRow="0" w:lastRow="0" w:firstColumn="0" w:lastColumn="0" w:noHBand="0" w:noVBand="0"/>
      </w:tblPr>
      <w:tblGrid>
        <w:gridCol w:w="8632"/>
      </w:tblGrid>
      <w:tr w:rsidR="009B0834" w:rsidRPr="00C507DB" w14:paraId="633FCC37" w14:textId="77777777" w:rsidTr="001568FC">
        <w:trPr>
          <w:trHeight w:val="409"/>
        </w:trPr>
        <w:tc>
          <w:tcPr>
            <w:tcW w:w="8632" w:type="dxa"/>
          </w:tcPr>
          <w:p w14:paraId="264C96BE" w14:textId="77777777" w:rsidR="009B0834" w:rsidRPr="00C507DB" w:rsidRDefault="009B0834" w:rsidP="009B0834">
            <w:pPr>
              <w:rPr>
                <w:rFonts w:cstheme="minorHAnsi"/>
              </w:rPr>
            </w:pPr>
            <w:r w:rsidRPr="00C507DB">
              <w:rPr>
                <w:rFonts w:cstheme="minorHAnsi"/>
              </w:rPr>
              <w:t>Delegate name/s:</w:t>
            </w:r>
          </w:p>
        </w:tc>
      </w:tr>
      <w:tr w:rsidR="00754CDA" w:rsidRPr="00C507DB" w14:paraId="716656EF" w14:textId="77777777" w:rsidTr="001568FC">
        <w:trPr>
          <w:trHeight w:val="409"/>
        </w:trPr>
        <w:tc>
          <w:tcPr>
            <w:tcW w:w="8632" w:type="dxa"/>
          </w:tcPr>
          <w:p w14:paraId="067FD6F6" w14:textId="027C9CB3" w:rsidR="00754CDA" w:rsidRPr="00C507DB" w:rsidRDefault="00754CDA" w:rsidP="009B0834">
            <w:pPr>
              <w:rPr>
                <w:rFonts w:cstheme="minorHAnsi"/>
              </w:rPr>
            </w:pPr>
            <w:r w:rsidRPr="00C507DB">
              <w:rPr>
                <w:rFonts w:cstheme="minorHAnsi"/>
              </w:rPr>
              <w:t xml:space="preserve">Session date and time: </w:t>
            </w:r>
          </w:p>
        </w:tc>
      </w:tr>
      <w:tr w:rsidR="009B0834" w:rsidRPr="00C507DB" w14:paraId="50F80E2C" w14:textId="77777777" w:rsidTr="001568FC">
        <w:trPr>
          <w:trHeight w:val="652"/>
        </w:trPr>
        <w:tc>
          <w:tcPr>
            <w:tcW w:w="8632" w:type="dxa"/>
          </w:tcPr>
          <w:p w14:paraId="218A47FA" w14:textId="5178E4D8" w:rsidR="009B0834" w:rsidRPr="00C507DB" w:rsidRDefault="009B0834" w:rsidP="009B0834">
            <w:pPr>
              <w:rPr>
                <w:rFonts w:cstheme="minorHAnsi"/>
              </w:rPr>
            </w:pPr>
            <w:r w:rsidRPr="00C507DB">
              <w:rPr>
                <w:rFonts w:cstheme="minorHAnsi"/>
              </w:rPr>
              <w:lastRenderedPageBreak/>
              <w:t>Name of company</w:t>
            </w:r>
            <w:r w:rsidR="00DE6BBC" w:rsidRPr="00C507DB">
              <w:rPr>
                <w:rFonts w:cstheme="minorHAnsi"/>
              </w:rPr>
              <w:t>, Service and geographical area covered:</w:t>
            </w:r>
          </w:p>
        </w:tc>
      </w:tr>
      <w:tr w:rsidR="009B0834" w:rsidRPr="00C507DB" w14:paraId="7BA2953E" w14:textId="77777777" w:rsidTr="001568FC">
        <w:trPr>
          <w:trHeight w:val="652"/>
        </w:trPr>
        <w:tc>
          <w:tcPr>
            <w:tcW w:w="8632" w:type="dxa"/>
          </w:tcPr>
          <w:p w14:paraId="57448B58" w14:textId="69B750F0" w:rsidR="009B0834" w:rsidRPr="00C507DB" w:rsidRDefault="00071B07" w:rsidP="009B0834">
            <w:pPr>
              <w:rPr>
                <w:rFonts w:cstheme="minorHAnsi"/>
              </w:rPr>
            </w:pPr>
            <w:r w:rsidRPr="00C507DB">
              <w:rPr>
                <w:rFonts w:cstheme="minorHAnsi"/>
              </w:rPr>
              <w:t xml:space="preserve">Work </w:t>
            </w:r>
            <w:r w:rsidR="009B0834" w:rsidRPr="00C507DB">
              <w:rPr>
                <w:rFonts w:cstheme="minorHAnsi"/>
              </w:rPr>
              <w:t>Email:</w:t>
            </w:r>
          </w:p>
        </w:tc>
      </w:tr>
      <w:tr w:rsidR="009B0834" w:rsidRPr="00C507DB" w14:paraId="068C7441" w14:textId="77777777" w:rsidTr="001568FC">
        <w:trPr>
          <w:trHeight w:val="455"/>
        </w:trPr>
        <w:tc>
          <w:tcPr>
            <w:tcW w:w="8632" w:type="dxa"/>
          </w:tcPr>
          <w:p w14:paraId="27446968" w14:textId="77777777" w:rsidR="009B0834" w:rsidRPr="00C507DB" w:rsidRDefault="009B0834" w:rsidP="009B0834">
            <w:pPr>
              <w:rPr>
                <w:rFonts w:cstheme="minorHAnsi"/>
              </w:rPr>
            </w:pPr>
            <w:r w:rsidRPr="00C507DB">
              <w:rPr>
                <w:rFonts w:cstheme="minorHAnsi"/>
              </w:rPr>
              <w:t>Phone:</w:t>
            </w:r>
          </w:p>
        </w:tc>
      </w:tr>
    </w:tbl>
    <w:p w14:paraId="65F5417A" w14:textId="0729AF8E" w:rsidR="00F560F9" w:rsidRPr="00C507DB" w:rsidRDefault="00F560F9">
      <w:pPr>
        <w:rPr>
          <w:rFonts w:cstheme="minorHAnsi"/>
        </w:rPr>
      </w:pPr>
    </w:p>
    <w:p w14:paraId="1EFB0268" w14:textId="2049206F" w:rsidR="009B0834" w:rsidRPr="00C507DB" w:rsidRDefault="00071B07" w:rsidP="00DE6BBC">
      <w:pPr>
        <w:jc w:val="center"/>
        <w:rPr>
          <w:rFonts w:cstheme="minorHAnsi"/>
        </w:rPr>
      </w:pPr>
      <w:r w:rsidRPr="00C507DB">
        <w:rPr>
          <w:rFonts w:cstheme="minorHAnsi"/>
        </w:rPr>
        <w:t>This course is only open to registered adult social care services that are based within the geographical boundaries of Essex County Council.</w:t>
      </w:r>
    </w:p>
    <w:p w14:paraId="7F0AB765" w14:textId="632C3CD8" w:rsidR="00CE69F1" w:rsidRPr="00C507DB" w:rsidRDefault="009B0834" w:rsidP="009B0834">
      <w:pPr>
        <w:pStyle w:val="paragraph"/>
        <w:spacing w:before="0" w:beforeAutospacing="0" w:after="0" w:afterAutospacing="0"/>
        <w:jc w:val="center"/>
        <w:textAlignment w:val="baseline"/>
        <w:rPr>
          <w:rStyle w:val="eop"/>
          <w:rFonts w:asciiTheme="minorHAnsi" w:hAnsiTheme="minorHAnsi" w:cstheme="minorHAnsi"/>
          <w:sz w:val="22"/>
          <w:szCs w:val="22"/>
        </w:rPr>
      </w:pPr>
      <w:r w:rsidRPr="00C507DB">
        <w:rPr>
          <w:rFonts w:asciiTheme="minorHAnsi" w:hAnsiTheme="minorHAnsi" w:cstheme="minorHAnsi"/>
          <w:sz w:val="22"/>
          <w:szCs w:val="22"/>
        </w:rPr>
        <w:t>Please complete the booking table</w:t>
      </w:r>
      <w:r w:rsidR="00425C12" w:rsidRPr="00C507DB">
        <w:rPr>
          <w:rFonts w:asciiTheme="minorHAnsi" w:hAnsiTheme="minorHAnsi" w:cstheme="minorHAnsi"/>
          <w:sz w:val="22"/>
          <w:szCs w:val="22"/>
        </w:rPr>
        <w:t xml:space="preserve">, </w:t>
      </w:r>
      <w:r w:rsidRPr="00C507DB">
        <w:rPr>
          <w:rFonts w:asciiTheme="minorHAnsi" w:hAnsiTheme="minorHAnsi" w:cstheme="minorHAnsi"/>
          <w:sz w:val="22"/>
          <w:szCs w:val="22"/>
        </w:rPr>
        <w:t xml:space="preserve">return to </w:t>
      </w:r>
      <w:hyperlink r:id="rId13" w:history="1">
        <w:r w:rsidRPr="00C507DB">
          <w:rPr>
            <w:rStyle w:val="Hyperlink"/>
            <w:rFonts w:asciiTheme="minorHAnsi" w:eastAsiaTheme="minorEastAsia" w:hAnsiTheme="minorHAnsi" w:cstheme="minorHAnsi"/>
            <w:sz w:val="22"/>
            <w:szCs w:val="22"/>
          </w:rPr>
          <w:t>quality.innovation@essex.gov.uk</w:t>
        </w:r>
      </w:hyperlink>
      <w:r w:rsidRPr="00C507DB">
        <w:rPr>
          <w:rStyle w:val="normaltextrun"/>
          <w:rFonts w:asciiTheme="minorHAnsi" w:eastAsiaTheme="minorEastAsia" w:hAnsiTheme="minorHAnsi" w:cstheme="minorHAnsi"/>
          <w:sz w:val="22"/>
          <w:szCs w:val="22"/>
        </w:rPr>
        <w:t> </w:t>
      </w:r>
      <w:r w:rsidRPr="00C507DB">
        <w:rPr>
          <w:rStyle w:val="eop"/>
          <w:rFonts w:asciiTheme="minorHAnsi" w:hAnsiTheme="minorHAnsi" w:cstheme="minorHAnsi"/>
          <w:sz w:val="22"/>
          <w:szCs w:val="22"/>
        </w:rPr>
        <w:t> </w:t>
      </w:r>
      <w:r w:rsidR="00425C12" w:rsidRPr="00C507DB">
        <w:rPr>
          <w:rStyle w:val="eop"/>
          <w:rFonts w:asciiTheme="minorHAnsi" w:hAnsiTheme="minorHAnsi" w:cstheme="minorHAnsi"/>
          <w:sz w:val="22"/>
          <w:szCs w:val="22"/>
        </w:rPr>
        <w:t xml:space="preserve">and await </w:t>
      </w:r>
      <w:r w:rsidRPr="00C507DB">
        <w:rPr>
          <w:rStyle w:val="eop"/>
          <w:rFonts w:asciiTheme="minorHAnsi" w:hAnsiTheme="minorHAnsi" w:cstheme="minorHAnsi"/>
          <w:sz w:val="22"/>
          <w:szCs w:val="22"/>
        </w:rPr>
        <w:t>booking confirmation</w:t>
      </w:r>
      <w:r w:rsidR="00425C12" w:rsidRPr="00C507DB">
        <w:rPr>
          <w:rStyle w:val="eop"/>
          <w:rFonts w:asciiTheme="minorHAnsi" w:hAnsiTheme="minorHAnsi" w:cstheme="minorHAnsi"/>
          <w:sz w:val="22"/>
          <w:szCs w:val="22"/>
        </w:rPr>
        <w:t xml:space="preserve">. </w:t>
      </w:r>
    </w:p>
    <w:p w14:paraId="24DA2E1A" w14:textId="77777777" w:rsidR="009B0834" w:rsidRPr="00C507DB" w:rsidRDefault="009B0834" w:rsidP="009B0834">
      <w:pPr>
        <w:pStyle w:val="paragraph"/>
        <w:spacing w:before="0" w:beforeAutospacing="0" w:after="0" w:afterAutospacing="0"/>
        <w:textAlignment w:val="baseline"/>
        <w:rPr>
          <w:rFonts w:asciiTheme="minorHAnsi" w:hAnsiTheme="minorHAnsi" w:cstheme="minorHAnsi"/>
          <w:sz w:val="22"/>
          <w:szCs w:val="22"/>
        </w:rPr>
      </w:pPr>
    </w:p>
    <w:p w14:paraId="56397E71" w14:textId="77777777" w:rsidR="00CE69F1" w:rsidRPr="00C507DB" w:rsidRDefault="00CE69F1" w:rsidP="00071B07">
      <w:pPr>
        <w:spacing w:after="0"/>
        <w:rPr>
          <w:rFonts w:cstheme="minorHAnsi"/>
        </w:rPr>
      </w:pPr>
      <w:r w:rsidRPr="00C507DB">
        <w:rPr>
          <w:rFonts w:cstheme="minorHAnsi"/>
        </w:rPr>
        <w:t>Essex County Council (ECC) is the controller of the personal information you provide to us.</w:t>
      </w:r>
    </w:p>
    <w:p w14:paraId="76B491CF" w14:textId="5320D574" w:rsidR="00CE69F1" w:rsidRPr="00C507DB" w:rsidRDefault="00CE69F1" w:rsidP="00071B07">
      <w:pPr>
        <w:spacing w:after="0"/>
        <w:rPr>
          <w:rFonts w:cstheme="minorHAnsi"/>
        </w:rPr>
      </w:pPr>
      <w:r w:rsidRPr="00C507DB">
        <w:rPr>
          <w:rFonts w:cstheme="minorHAnsi"/>
        </w:rPr>
        <w:t xml:space="preserve">The personal information collected on this form will be used by ECC for the administration of the training/event you have requested.  This information will only be shared with the relevant training or event organiser for the purposes of contacting you about the training/event.  If we suspect fraud or crime is being committed, we may also share your information with the police and other fraud investigations, where the law requires us to do so.  For more detail on how your personal information is used and your rights, please visit </w:t>
      </w:r>
      <w:hyperlink r:id="rId14" w:history="1">
        <w:r w:rsidRPr="00C507DB">
          <w:rPr>
            <w:rStyle w:val="Hyperlink"/>
            <w:rFonts w:cstheme="minorHAnsi"/>
          </w:rPr>
          <w:t>www.essex.gov.uk/privacy</w:t>
        </w:r>
      </w:hyperlink>
      <w:r w:rsidRPr="00C507DB">
        <w:rPr>
          <w:rFonts w:cstheme="minorHAnsi"/>
        </w:rPr>
        <w:t xml:space="preserve"> </w:t>
      </w:r>
    </w:p>
    <w:p w14:paraId="7B795B65" w14:textId="77777777" w:rsidR="00CE69F1" w:rsidRPr="00C507DB" w:rsidRDefault="00CE69F1">
      <w:pPr>
        <w:rPr>
          <w:rFonts w:cstheme="minorHAnsi"/>
        </w:rPr>
      </w:pPr>
    </w:p>
    <w:p w14:paraId="0FC2F444" w14:textId="77777777" w:rsidR="00CE69F1" w:rsidRPr="00C507DB" w:rsidRDefault="00CE69F1">
      <w:pPr>
        <w:rPr>
          <w:rFonts w:cstheme="minorHAnsi"/>
        </w:rPr>
      </w:pPr>
    </w:p>
    <w:p w14:paraId="32721E62" w14:textId="77777777" w:rsidR="00CE69F1" w:rsidRPr="00C507DB" w:rsidRDefault="00CE69F1">
      <w:pPr>
        <w:rPr>
          <w:rFonts w:cstheme="minorHAnsi"/>
        </w:rPr>
      </w:pPr>
    </w:p>
    <w:p w14:paraId="4822D480" w14:textId="77777777" w:rsidR="00CE69F1" w:rsidRDefault="00CE69F1"/>
    <w:p w14:paraId="3AACCF97" w14:textId="77777777" w:rsidR="00CE69F1" w:rsidRDefault="00CE69F1"/>
    <w:p w14:paraId="53BC4AEB" w14:textId="77777777" w:rsidR="00CE69F1" w:rsidRDefault="00CE69F1"/>
    <w:p w14:paraId="196BC38C" w14:textId="77777777" w:rsidR="00CE69F1" w:rsidRDefault="00CE69F1"/>
    <w:sectPr w:rsidR="00CE69F1">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EE6E5" w14:textId="77777777" w:rsidR="00341085" w:rsidRDefault="00341085" w:rsidP="00CE69F1">
      <w:pPr>
        <w:spacing w:after="0" w:line="240" w:lineRule="auto"/>
      </w:pPr>
      <w:r>
        <w:separator/>
      </w:r>
    </w:p>
  </w:endnote>
  <w:endnote w:type="continuationSeparator" w:id="0">
    <w:p w14:paraId="7961A355" w14:textId="77777777" w:rsidR="00341085" w:rsidRDefault="00341085" w:rsidP="00CE6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4261" w14:textId="64A9DB99" w:rsidR="00CE69F1" w:rsidRDefault="00CE69F1">
    <w:pPr>
      <w:pStyle w:val="Footer"/>
    </w:pPr>
    <w:r>
      <w:t>Essex County Council Provider Quality Innovation Team – Adults with Disabilities Team – quality.innovation@essex.gov.uk</w:t>
    </w:r>
  </w:p>
  <w:p w14:paraId="6D35EA02" w14:textId="77777777" w:rsidR="00CE69F1" w:rsidRDefault="00CE6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63638" w14:textId="77777777" w:rsidR="00341085" w:rsidRDefault="00341085" w:rsidP="00CE69F1">
      <w:pPr>
        <w:spacing w:after="0" w:line="240" w:lineRule="auto"/>
      </w:pPr>
      <w:r>
        <w:separator/>
      </w:r>
    </w:p>
  </w:footnote>
  <w:footnote w:type="continuationSeparator" w:id="0">
    <w:p w14:paraId="579CDA64" w14:textId="77777777" w:rsidR="00341085" w:rsidRDefault="00341085" w:rsidP="00CE6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7319" w14:textId="7365D13B" w:rsidR="00CE69F1" w:rsidRDefault="00CE69F1" w:rsidP="00CE69F1">
    <w:pPr>
      <w:pStyle w:val="Header"/>
    </w:pPr>
    <w:r>
      <w:rPr>
        <w:noProof/>
        <w:lang w:eastAsia="en-GB"/>
      </w:rPr>
      <w:drawing>
        <wp:anchor distT="0" distB="0" distL="114300" distR="114300" simplePos="0" relativeHeight="251658240" behindDoc="0" locked="0" layoutInCell="1" allowOverlap="1" wp14:anchorId="6AEB5C4E" wp14:editId="54DE134F">
          <wp:simplePos x="0" y="0"/>
          <wp:positionH relativeFrom="margin">
            <wp:posOffset>-201295</wp:posOffset>
          </wp:positionH>
          <wp:positionV relativeFrom="topMargin">
            <wp:posOffset>217337</wp:posOffset>
          </wp:positionV>
          <wp:extent cx="2707640" cy="6381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07640" cy="638175"/>
                  </a:xfrm>
                  <a:prstGeom prst="rect">
                    <a:avLst/>
                  </a:prstGeom>
                  <a:noFill/>
                  <a:ln>
                    <a:noFill/>
                  </a:ln>
                </pic:spPr>
              </pic:pic>
            </a:graphicData>
          </a:graphic>
        </wp:anchor>
      </w:drawing>
    </w:r>
    <w:r>
      <w:t xml:space="preserve">   </w:t>
    </w:r>
    <w:r>
      <w:rPr>
        <w:noProof/>
        <w:lang w:eastAsia="en-GB"/>
      </w:rPr>
      <w:drawing>
        <wp:inline distT="0" distB="0" distL="0" distR="0" wp14:anchorId="75BFF996" wp14:editId="4EE82C8D">
          <wp:extent cx="3509010" cy="248285"/>
          <wp:effectExtent l="0" t="0" r="15240" b="184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3509010" cy="248285"/>
                  </a:xfrm>
                  <a:prstGeom prst="rect">
                    <a:avLst/>
                  </a:prstGeom>
                  <a:noFill/>
                  <a:ln>
                    <a:noFill/>
                  </a:ln>
                </pic:spPr>
              </pic:pic>
            </a:graphicData>
          </a:graphic>
        </wp:inline>
      </w:drawing>
    </w:r>
  </w:p>
  <w:p w14:paraId="038A47A6" w14:textId="1EA32241" w:rsidR="00CE69F1" w:rsidRDefault="00CE69F1" w:rsidP="00CE69F1">
    <w:pPr>
      <w:pStyle w:val="Header"/>
    </w:pPr>
  </w:p>
  <w:p w14:paraId="6847F2C1" w14:textId="6DC2713B" w:rsidR="00CE69F1" w:rsidRDefault="00CE69F1">
    <w:pPr>
      <w:pStyle w:val="Header"/>
    </w:pPr>
  </w:p>
  <w:p w14:paraId="2B03E08B" w14:textId="2A27C686" w:rsidR="00CE69F1" w:rsidRDefault="00CE6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C0B45"/>
    <w:multiLevelType w:val="hybridMultilevel"/>
    <w:tmpl w:val="089EF3EA"/>
    <w:lvl w:ilvl="0" w:tplc="023CFB74">
      <w:start w:val="1"/>
      <w:numFmt w:val="bullet"/>
      <w:lvlText w:val="•"/>
      <w:lvlJc w:val="left"/>
      <w:pPr>
        <w:tabs>
          <w:tab w:val="num" w:pos="720"/>
        </w:tabs>
        <w:ind w:left="720" w:hanging="360"/>
      </w:pPr>
      <w:rPr>
        <w:rFonts w:ascii="Times New Roman" w:hAnsi="Times New Roman" w:hint="default"/>
      </w:rPr>
    </w:lvl>
    <w:lvl w:ilvl="1" w:tplc="396EAF58" w:tentative="1">
      <w:start w:val="1"/>
      <w:numFmt w:val="bullet"/>
      <w:lvlText w:val="•"/>
      <w:lvlJc w:val="left"/>
      <w:pPr>
        <w:tabs>
          <w:tab w:val="num" w:pos="1440"/>
        </w:tabs>
        <w:ind w:left="1440" w:hanging="360"/>
      </w:pPr>
      <w:rPr>
        <w:rFonts w:ascii="Times New Roman" w:hAnsi="Times New Roman" w:hint="default"/>
      </w:rPr>
    </w:lvl>
    <w:lvl w:ilvl="2" w:tplc="46801C6E" w:tentative="1">
      <w:start w:val="1"/>
      <w:numFmt w:val="bullet"/>
      <w:lvlText w:val="•"/>
      <w:lvlJc w:val="left"/>
      <w:pPr>
        <w:tabs>
          <w:tab w:val="num" w:pos="2160"/>
        </w:tabs>
        <w:ind w:left="2160" w:hanging="360"/>
      </w:pPr>
      <w:rPr>
        <w:rFonts w:ascii="Times New Roman" w:hAnsi="Times New Roman" w:hint="default"/>
      </w:rPr>
    </w:lvl>
    <w:lvl w:ilvl="3" w:tplc="F0464710" w:tentative="1">
      <w:start w:val="1"/>
      <w:numFmt w:val="bullet"/>
      <w:lvlText w:val="•"/>
      <w:lvlJc w:val="left"/>
      <w:pPr>
        <w:tabs>
          <w:tab w:val="num" w:pos="2880"/>
        </w:tabs>
        <w:ind w:left="2880" w:hanging="360"/>
      </w:pPr>
      <w:rPr>
        <w:rFonts w:ascii="Times New Roman" w:hAnsi="Times New Roman" w:hint="default"/>
      </w:rPr>
    </w:lvl>
    <w:lvl w:ilvl="4" w:tplc="89B8E626" w:tentative="1">
      <w:start w:val="1"/>
      <w:numFmt w:val="bullet"/>
      <w:lvlText w:val="•"/>
      <w:lvlJc w:val="left"/>
      <w:pPr>
        <w:tabs>
          <w:tab w:val="num" w:pos="3600"/>
        </w:tabs>
        <w:ind w:left="3600" w:hanging="360"/>
      </w:pPr>
      <w:rPr>
        <w:rFonts w:ascii="Times New Roman" w:hAnsi="Times New Roman" w:hint="default"/>
      </w:rPr>
    </w:lvl>
    <w:lvl w:ilvl="5" w:tplc="DB2001C8" w:tentative="1">
      <w:start w:val="1"/>
      <w:numFmt w:val="bullet"/>
      <w:lvlText w:val="•"/>
      <w:lvlJc w:val="left"/>
      <w:pPr>
        <w:tabs>
          <w:tab w:val="num" w:pos="4320"/>
        </w:tabs>
        <w:ind w:left="4320" w:hanging="360"/>
      </w:pPr>
      <w:rPr>
        <w:rFonts w:ascii="Times New Roman" w:hAnsi="Times New Roman" w:hint="default"/>
      </w:rPr>
    </w:lvl>
    <w:lvl w:ilvl="6" w:tplc="CB02B9A8" w:tentative="1">
      <w:start w:val="1"/>
      <w:numFmt w:val="bullet"/>
      <w:lvlText w:val="•"/>
      <w:lvlJc w:val="left"/>
      <w:pPr>
        <w:tabs>
          <w:tab w:val="num" w:pos="5040"/>
        </w:tabs>
        <w:ind w:left="5040" w:hanging="360"/>
      </w:pPr>
      <w:rPr>
        <w:rFonts w:ascii="Times New Roman" w:hAnsi="Times New Roman" w:hint="default"/>
      </w:rPr>
    </w:lvl>
    <w:lvl w:ilvl="7" w:tplc="E58CACC0" w:tentative="1">
      <w:start w:val="1"/>
      <w:numFmt w:val="bullet"/>
      <w:lvlText w:val="•"/>
      <w:lvlJc w:val="left"/>
      <w:pPr>
        <w:tabs>
          <w:tab w:val="num" w:pos="5760"/>
        </w:tabs>
        <w:ind w:left="5760" w:hanging="360"/>
      </w:pPr>
      <w:rPr>
        <w:rFonts w:ascii="Times New Roman" w:hAnsi="Times New Roman" w:hint="default"/>
      </w:rPr>
    </w:lvl>
    <w:lvl w:ilvl="8" w:tplc="E49CEE3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35B5ADF"/>
    <w:multiLevelType w:val="multilevel"/>
    <w:tmpl w:val="B532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330872">
    <w:abstractNumId w:val="0"/>
  </w:num>
  <w:num w:numId="2" w16cid:durableId="1145319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9F1"/>
    <w:rsid w:val="00071B07"/>
    <w:rsid w:val="00113ED8"/>
    <w:rsid w:val="001563DD"/>
    <w:rsid w:val="001568FC"/>
    <w:rsid w:val="001A01B2"/>
    <w:rsid w:val="002D3A9D"/>
    <w:rsid w:val="00341085"/>
    <w:rsid w:val="00425C12"/>
    <w:rsid w:val="00692A0A"/>
    <w:rsid w:val="00754CDA"/>
    <w:rsid w:val="008319DB"/>
    <w:rsid w:val="00844BBE"/>
    <w:rsid w:val="00916DF2"/>
    <w:rsid w:val="009B0834"/>
    <w:rsid w:val="00AD1CC5"/>
    <w:rsid w:val="00B47B75"/>
    <w:rsid w:val="00C507DB"/>
    <w:rsid w:val="00CE69F1"/>
    <w:rsid w:val="00D00E91"/>
    <w:rsid w:val="00DE6BBC"/>
    <w:rsid w:val="00E02ED0"/>
    <w:rsid w:val="00F22827"/>
    <w:rsid w:val="00F560F9"/>
    <w:rsid w:val="00FB3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350ED"/>
  <w15:chartTrackingRefBased/>
  <w15:docId w15:val="{587E06F7-DEBE-440F-8C95-33EB3937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9F1"/>
  </w:style>
  <w:style w:type="paragraph" w:styleId="Footer">
    <w:name w:val="footer"/>
    <w:basedOn w:val="Normal"/>
    <w:link w:val="FooterChar"/>
    <w:uiPriority w:val="99"/>
    <w:unhideWhenUsed/>
    <w:rsid w:val="00CE6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9F1"/>
  </w:style>
  <w:style w:type="character" w:styleId="Hyperlink">
    <w:name w:val="Hyperlink"/>
    <w:basedOn w:val="DefaultParagraphFont"/>
    <w:uiPriority w:val="99"/>
    <w:unhideWhenUsed/>
    <w:rsid w:val="00CE69F1"/>
    <w:rPr>
      <w:color w:val="0066FF" w:themeColor="hyperlink"/>
      <w:u w:val="single"/>
    </w:rPr>
  </w:style>
  <w:style w:type="table" w:styleId="TableGrid">
    <w:name w:val="Table Grid"/>
    <w:basedOn w:val="TableNormal"/>
    <w:uiPriority w:val="39"/>
    <w:rsid w:val="00CE6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7Colorful-Accent1">
    <w:name w:val="Grid Table 7 Colorful Accent 1"/>
    <w:basedOn w:val="TableNormal"/>
    <w:uiPriority w:val="52"/>
    <w:rsid w:val="008319DB"/>
    <w:pPr>
      <w:spacing w:after="0" w:line="240" w:lineRule="auto"/>
    </w:pPr>
    <w:rPr>
      <w:color w:val="6D1D6A" w:themeColor="accent1" w:themeShade="BF"/>
    </w:r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BF0" w:themeFill="accent1" w:themeFillTint="33"/>
      </w:tcPr>
    </w:tblStylePr>
    <w:tblStylePr w:type="band1Horz">
      <w:tblPr/>
      <w:tcPr>
        <w:shd w:val="clear" w:color="auto" w:fill="F1CBF0" w:themeFill="accent1" w:themeFillTint="33"/>
      </w:tcPr>
    </w:tblStylePr>
    <w:tblStylePr w:type="neCell">
      <w:tblPr/>
      <w:tcPr>
        <w:tcBorders>
          <w:bottom w:val="single" w:sz="4" w:space="0" w:color="D565D2" w:themeColor="accent1" w:themeTint="99"/>
        </w:tcBorders>
      </w:tcPr>
    </w:tblStylePr>
    <w:tblStylePr w:type="nwCell">
      <w:tblPr/>
      <w:tcPr>
        <w:tcBorders>
          <w:bottom w:val="single" w:sz="4" w:space="0" w:color="D565D2" w:themeColor="accent1" w:themeTint="99"/>
        </w:tcBorders>
      </w:tcPr>
    </w:tblStylePr>
    <w:tblStylePr w:type="seCell">
      <w:tblPr/>
      <w:tcPr>
        <w:tcBorders>
          <w:top w:val="single" w:sz="4" w:space="0" w:color="D565D2" w:themeColor="accent1" w:themeTint="99"/>
        </w:tcBorders>
      </w:tcPr>
    </w:tblStylePr>
    <w:tblStylePr w:type="swCell">
      <w:tblPr/>
      <w:tcPr>
        <w:tcBorders>
          <w:top w:val="single" w:sz="4" w:space="0" w:color="D565D2" w:themeColor="accent1" w:themeTint="99"/>
        </w:tcBorders>
      </w:tcPr>
    </w:tblStylePr>
  </w:style>
  <w:style w:type="table" w:styleId="GridTable4-Accent5">
    <w:name w:val="Grid Table 4 Accent 5"/>
    <w:basedOn w:val="TableNormal"/>
    <w:uiPriority w:val="49"/>
    <w:rsid w:val="00844BBE"/>
    <w:pPr>
      <w:spacing w:after="0" w:line="240" w:lineRule="auto"/>
    </w:p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color w:val="FFFFFF" w:themeColor="background1"/>
      </w:rPr>
      <w:tblPr/>
      <w:tcPr>
        <w:tcBorders>
          <w:top w:val="single" w:sz="4" w:space="0" w:color="45A5ED" w:themeColor="accent5"/>
          <w:left w:val="single" w:sz="4" w:space="0" w:color="45A5ED" w:themeColor="accent5"/>
          <w:bottom w:val="single" w:sz="4" w:space="0" w:color="45A5ED" w:themeColor="accent5"/>
          <w:right w:val="single" w:sz="4" w:space="0" w:color="45A5ED" w:themeColor="accent5"/>
          <w:insideH w:val="nil"/>
          <w:insideV w:val="nil"/>
        </w:tcBorders>
        <w:shd w:val="clear" w:color="auto" w:fill="45A5ED" w:themeFill="accent5"/>
      </w:tcPr>
    </w:tblStylePr>
    <w:tblStylePr w:type="lastRow">
      <w:rPr>
        <w:b/>
        <w:bCs/>
      </w:rPr>
      <w:tblPr/>
      <w:tcPr>
        <w:tcBorders>
          <w:top w:val="double" w:sz="4" w:space="0" w:color="45A5ED" w:themeColor="accent5"/>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ListTable2-Accent5">
    <w:name w:val="List Table 2 Accent 5"/>
    <w:basedOn w:val="TableNormal"/>
    <w:uiPriority w:val="47"/>
    <w:rsid w:val="00844BBE"/>
    <w:pPr>
      <w:spacing w:after="0" w:line="240" w:lineRule="auto"/>
    </w:pPr>
    <w:tblPr>
      <w:tblStyleRowBandSize w:val="1"/>
      <w:tblStyleColBandSize w:val="1"/>
      <w:tblBorders>
        <w:top w:val="single" w:sz="4" w:space="0" w:color="8FC8F4" w:themeColor="accent5" w:themeTint="99"/>
        <w:bottom w:val="single" w:sz="4" w:space="0" w:color="8FC8F4" w:themeColor="accent5" w:themeTint="99"/>
        <w:insideH w:val="single" w:sz="4" w:space="0" w:color="8FC8F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ListTable2-Accent1">
    <w:name w:val="List Table 2 Accent 1"/>
    <w:basedOn w:val="TableNormal"/>
    <w:uiPriority w:val="47"/>
    <w:rsid w:val="00844BBE"/>
    <w:pPr>
      <w:spacing w:after="0" w:line="240" w:lineRule="auto"/>
    </w:pPr>
    <w:tblPr>
      <w:tblStyleRowBandSize w:val="1"/>
      <w:tblStyleColBandSize w:val="1"/>
      <w:tblBorders>
        <w:top w:val="single" w:sz="4" w:space="0" w:color="D565D2" w:themeColor="accent1" w:themeTint="99"/>
        <w:bottom w:val="single" w:sz="4" w:space="0" w:color="D565D2" w:themeColor="accent1" w:themeTint="99"/>
        <w:insideH w:val="single" w:sz="4" w:space="0" w:color="D565D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ListTable2">
    <w:name w:val="List Table 2"/>
    <w:basedOn w:val="TableNormal"/>
    <w:uiPriority w:val="47"/>
    <w:rsid w:val="00844BB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ragraph">
    <w:name w:val="paragraph"/>
    <w:basedOn w:val="Normal"/>
    <w:rsid w:val="009B083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B0834"/>
  </w:style>
  <w:style w:type="character" w:customStyle="1" w:styleId="eop">
    <w:name w:val="eop"/>
    <w:basedOn w:val="DefaultParagraphFont"/>
    <w:rsid w:val="009B0834"/>
  </w:style>
  <w:style w:type="paragraph" w:styleId="NormalWeb">
    <w:name w:val="Normal (Web)"/>
    <w:basedOn w:val="Normal"/>
    <w:uiPriority w:val="99"/>
    <w:semiHidden/>
    <w:unhideWhenUsed/>
    <w:rsid w:val="00C507D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924494">
      <w:bodyDiv w:val="1"/>
      <w:marLeft w:val="0"/>
      <w:marRight w:val="0"/>
      <w:marTop w:val="0"/>
      <w:marBottom w:val="0"/>
      <w:divBdr>
        <w:top w:val="none" w:sz="0" w:space="0" w:color="auto"/>
        <w:left w:val="none" w:sz="0" w:space="0" w:color="auto"/>
        <w:bottom w:val="none" w:sz="0" w:space="0" w:color="auto"/>
        <w:right w:val="none" w:sz="0" w:space="0" w:color="auto"/>
      </w:divBdr>
      <w:divsChild>
        <w:div w:id="104421353">
          <w:marLeft w:val="547"/>
          <w:marRight w:val="0"/>
          <w:marTop w:val="0"/>
          <w:marBottom w:val="0"/>
          <w:divBdr>
            <w:top w:val="none" w:sz="0" w:space="0" w:color="auto"/>
            <w:left w:val="none" w:sz="0" w:space="0" w:color="auto"/>
            <w:bottom w:val="none" w:sz="0" w:space="0" w:color="auto"/>
            <w:right w:val="none" w:sz="0" w:space="0" w:color="auto"/>
          </w:divBdr>
        </w:div>
      </w:divsChild>
    </w:div>
    <w:div w:id="2027174856">
      <w:bodyDiv w:val="1"/>
      <w:marLeft w:val="0"/>
      <w:marRight w:val="0"/>
      <w:marTop w:val="0"/>
      <w:marBottom w:val="0"/>
      <w:divBdr>
        <w:top w:val="none" w:sz="0" w:space="0" w:color="auto"/>
        <w:left w:val="none" w:sz="0" w:space="0" w:color="auto"/>
        <w:bottom w:val="none" w:sz="0" w:space="0" w:color="auto"/>
        <w:right w:val="none" w:sz="0" w:space="0" w:color="auto"/>
      </w:divBdr>
      <w:divsChild>
        <w:div w:id="1287152623">
          <w:marLeft w:val="547"/>
          <w:marRight w:val="0"/>
          <w:marTop w:val="0"/>
          <w:marBottom w:val="0"/>
          <w:divBdr>
            <w:top w:val="none" w:sz="0" w:space="0" w:color="auto"/>
            <w:left w:val="none" w:sz="0" w:space="0" w:color="auto"/>
            <w:bottom w:val="none" w:sz="0" w:space="0" w:color="auto"/>
            <w:right w:val="none" w:sz="0" w:space="0" w:color="auto"/>
          </w:divBdr>
        </w:div>
      </w:divsChild>
    </w:div>
    <w:div w:id="204787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quality.innovation@essex.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sex.gov.uk/privac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5.png@01DA8A8E.3C168970" TargetMode="External"/><Relationship Id="rId1" Type="http://schemas.openxmlformats.org/officeDocument/2006/relationships/image" Target="media/image2.png"/><Relationship Id="rId4" Type="http://schemas.openxmlformats.org/officeDocument/2006/relationships/image" Target="cid:image004.png@01DA8A8E.3C168970" TargetMode="Externa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17" ma:contentTypeDescription="Create a new document." ma:contentTypeScope="" ma:versionID="b6f67c70ef15386e0d9610cda3baa68e">
  <xsd:schema xmlns:xsd="http://www.w3.org/2001/XMLSchema" xmlns:xs="http://www.w3.org/2001/XMLSchema" xmlns:p="http://schemas.microsoft.com/office/2006/metadata/properties" xmlns:ns2="a9f12287-5f74-4593-92c9-e973669b9a71" xmlns:ns3="6140e513-9c0e-4e73-9b29-9e780522eb94" xmlns:ns4="6a461f78-e7a2-485a-8a47-5fc604b04102" targetNamespace="http://schemas.microsoft.com/office/2006/metadata/properties" ma:root="true" ma:fieldsID="c7d4d3b65921710df521ba21322640b5" ns2:_="" ns3:_="" ns4:_="">
    <xsd:import namespace="a9f12287-5f74-4593-92c9-e973669b9a71"/>
    <xsd:import namespace="6140e513-9c0e-4e73-9b29-9e780522eb94"/>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d86626f-7229-43f0-85c3-7f5a27119d6e}"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58DE94-96F3-4D7C-9296-D88C0EB82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140e513-9c0e-4e73-9b29-9e780522eb94"/>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89BEBC-FBDB-4B47-BC65-53E76CD6816F}">
  <ds:schemaRefs>
    <ds:schemaRef ds:uri="http://schemas.microsoft.com/sharepoint/v3/contenttype/forms"/>
  </ds:schemaRefs>
</ds:datastoreItem>
</file>

<file path=customXml/itemProps3.xml><?xml version="1.0" encoding="utf-8"?>
<ds:datastoreItem xmlns:ds="http://schemas.openxmlformats.org/officeDocument/2006/customXml" ds:itemID="{FE51D7A8-8992-4FDB-B969-0D5B1B4B39D6}">
  <ds:schemaRefs>
    <ds:schemaRef ds:uri="http://schemas.openxmlformats.org/officeDocument/2006/bibliography"/>
  </ds:schemaRefs>
</ds:datastoreItem>
</file>

<file path=customXml/itemProps4.xml><?xml version="1.0" encoding="utf-8"?>
<ds:datastoreItem xmlns:ds="http://schemas.openxmlformats.org/officeDocument/2006/customXml" ds:itemID="{87341432-DD14-46FF-9A86-997C81DDF9EC}">
  <ds:schemaRefs>
    <ds:schemaRef ds:uri="http://schemas.microsoft.com/office/2006/metadata/properties"/>
    <ds:schemaRef ds:uri="http://schemas.microsoft.com/office/infopath/2007/PartnerControls"/>
    <ds:schemaRef ds:uri="6a461f78-e7a2-485a-8a47-5fc604b04102"/>
    <ds:schemaRef ds:uri="a9f12287-5f74-4593-92c9-e973669b9a7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 Chandler - Provider Quality Improvement Officer</dc:creator>
  <cp:keywords/>
  <dc:description/>
  <cp:lastModifiedBy>Echo Chandler - Provider Quality Improvement Officer</cp:lastModifiedBy>
  <cp:revision>2</cp:revision>
  <dcterms:created xsi:type="dcterms:W3CDTF">2025-01-02T12:53:00Z</dcterms:created>
  <dcterms:modified xsi:type="dcterms:W3CDTF">2025-01-02T12:53:00Z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2024-09-05T13:14:55Z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96916733-496b-41a3-9b0f-71c3639a609f</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MediaServiceImageTags">
    <vt:lpwstr/>
  </property>
</Properties>
</file>