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FD3E" w14:textId="77777777" w:rsidR="00924AFE" w:rsidRPr="00D445FB" w:rsidRDefault="0085733F" w:rsidP="0085733F">
      <w:pPr>
        <w:spacing w:after="1000"/>
      </w:pPr>
      <w:r w:rsidRPr="00D445FB">
        <w:rPr>
          <w:noProof/>
        </w:rPr>
        <w:drawing>
          <wp:inline distT="0" distB="0" distL="0" distR="0" wp14:anchorId="788770AE" wp14:editId="7EFAB865">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9"/>
      </w:tblGrid>
      <w:tr w:rsidR="006A2F85" w14:paraId="7F702BC0" w14:textId="77777777" w:rsidTr="7E622B80">
        <w:tc>
          <w:tcPr>
            <w:tcW w:w="4539" w:type="dxa"/>
          </w:tcPr>
          <w:p w14:paraId="7B991A07" w14:textId="66FD58DD" w:rsidR="006A2F85" w:rsidRDefault="006A2F85" w:rsidP="000D7879">
            <w:pPr>
              <w:pStyle w:val="Heading1"/>
            </w:pPr>
            <w:r>
              <w:t>Contract Name</w:t>
            </w:r>
            <w:r w:rsidR="00BF29BC">
              <w:t>:</w:t>
            </w:r>
            <w:r w:rsidR="00D83622">
              <w:t xml:space="preserve">  Your Essex Community Element 2 </w:t>
            </w:r>
          </w:p>
        </w:tc>
        <w:tc>
          <w:tcPr>
            <w:tcW w:w="4539" w:type="dxa"/>
          </w:tcPr>
          <w:p w14:paraId="3B888557" w14:textId="77777777" w:rsidR="006A2F85" w:rsidRPr="006A2F85" w:rsidRDefault="006A2F85" w:rsidP="000D7879">
            <w:pPr>
              <w:pStyle w:val="Heading1"/>
              <w:rPr>
                <w:color w:val="auto"/>
              </w:rPr>
            </w:pPr>
          </w:p>
        </w:tc>
      </w:tr>
      <w:tr w:rsidR="006A2F85" w14:paraId="0FBEBA0D" w14:textId="77777777" w:rsidTr="7E622B80">
        <w:tc>
          <w:tcPr>
            <w:tcW w:w="4539" w:type="dxa"/>
          </w:tcPr>
          <w:p w14:paraId="0D4B5A17" w14:textId="232FC0B4" w:rsidR="006A2F85" w:rsidRDefault="006A2F85" w:rsidP="000D7879">
            <w:pPr>
              <w:pStyle w:val="Heading1"/>
            </w:pPr>
            <w:r>
              <w:t>Provider Name</w:t>
            </w:r>
            <w:r w:rsidR="00BF29BC">
              <w:t>:</w:t>
            </w:r>
            <w:r w:rsidR="00256B41">
              <w:t xml:space="preserve"> TAWS</w:t>
            </w:r>
            <w:r w:rsidR="0B812CC3">
              <w:t xml:space="preserve"> (</w:t>
            </w:r>
            <w:r w:rsidR="521F023F">
              <w:t>working in partnership with</w:t>
            </w:r>
            <w:r w:rsidR="0B812CC3">
              <w:t xml:space="preserve"> ATF)</w:t>
            </w:r>
          </w:p>
        </w:tc>
        <w:tc>
          <w:tcPr>
            <w:tcW w:w="4539" w:type="dxa"/>
          </w:tcPr>
          <w:p w14:paraId="1ECBE938" w14:textId="77777777" w:rsidR="006A2F85" w:rsidRPr="006A2F85" w:rsidRDefault="006A2F85" w:rsidP="000D7879">
            <w:pPr>
              <w:pStyle w:val="Heading1"/>
              <w:rPr>
                <w:color w:val="auto"/>
              </w:rPr>
            </w:pPr>
          </w:p>
        </w:tc>
      </w:tr>
      <w:tr w:rsidR="006A2F85" w14:paraId="27796433" w14:textId="77777777" w:rsidTr="7E622B80">
        <w:tc>
          <w:tcPr>
            <w:tcW w:w="4539" w:type="dxa"/>
          </w:tcPr>
          <w:p w14:paraId="22F43AC0" w14:textId="792C513D" w:rsidR="006A2F85" w:rsidRDefault="006A2F85" w:rsidP="000D7879">
            <w:pPr>
              <w:pStyle w:val="Heading1"/>
            </w:pPr>
            <w:r>
              <w:t>Date</w:t>
            </w:r>
            <w:r w:rsidR="00BF29BC">
              <w:t>:</w:t>
            </w:r>
            <w:r w:rsidR="3EAA3A2E">
              <w:t xml:space="preserve"> 13/03</w:t>
            </w:r>
            <w:r w:rsidR="62BE582A">
              <w:t>/</w:t>
            </w:r>
            <w:r w:rsidR="3EAA3A2E">
              <w:t>26</w:t>
            </w:r>
          </w:p>
        </w:tc>
        <w:tc>
          <w:tcPr>
            <w:tcW w:w="4539" w:type="dxa"/>
          </w:tcPr>
          <w:p w14:paraId="0E7E89CE" w14:textId="77777777" w:rsidR="006A2F85" w:rsidRPr="006A2F85" w:rsidRDefault="006A2F85" w:rsidP="000D7879">
            <w:pPr>
              <w:pStyle w:val="Heading1"/>
              <w:rPr>
                <w:color w:val="auto"/>
              </w:rPr>
            </w:pPr>
          </w:p>
        </w:tc>
      </w:tr>
    </w:tbl>
    <w:p w14:paraId="77F0B648" w14:textId="1E7FD356" w:rsidR="00B67160" w:rsidRPr="00D445FB" w:rsidRDefault="00B67160" w:rsidP="00B67160">
      <w:pPr>
        <w:pStyle w:val="Heading3"/>
      </w:pPr>
    </w:p>
    <w:tbl>
      <w:tblPr>
        <w:tblStyle w:val="ECCstandardtable"/>
        <w:tblW w:w="9776" w:type="dxa"/>
        <w:tblLook w:val="04A0" w:firstRow="1" w:lastRow="0" w:firstColumn="1" w:lastColumn="0" w:noHBand="0" w:noVBand="1"/>
      </w:tblPr>
      <w:tblGrid>
        <w:gridCol w:w="9776"/>
      </w:tblGrid>
      <w:tr w:rsidR="006A2F85" w:rsidRPr="00D445FB" w14:paraId="59722607" w14:textId="77777777" w:rsidTr="4D783D19">
        <w:trPr>
          <w:cnfStyle w:val="100000000000" w:firstRow="1" w:lastRow="0" w:firstColumn="0" w:lastColumn="0" w:oddVBand="0" w:evenVBand="0" w:oddHBand="0" w:evenHBand="0" w:firstRowFirstColumn="0" w:firstRowLastColumn="0" w:lastRowFirstColumn="0" w:lastRowLastColumn="0"/>
        </w:trPr>
        <w:tc>
          <w:tcPr>
            <w:tcW w:w="9776" w:type="dxa"/>
          </w:tcPr>
          <w:p w14:paraId="49427E65" w14:textId="22958DF0" w:rsidR="006A2F85" w:rsidRPr="006A2F85" w:rsidRDefault="006A2F85" w:rsidP="006A2F85">
            <w:pPr>
              <w:pStyle w:val="ListParagraph"/>
              <w:textAlignment w:val="baseline"/>
              <w:rPr>
                <w:rFonts w:eastAsia="Times New Roman" w:cs="Arial"/>
                <w:lang w:eastAsia="en-GB"/>
              </w:rPr>
            </w:pPr>
          </w:p>
        </w:tc>
      </w:tr>
      <w:tr w:rsidR="006A2F85" w:rsidRPr="00D445FB" w14:paraId="374D8369" w14:textId="77777777" w:rsidTr="4D783D19">
        <w:trPr>
          <w:trHeight w:val="5119"/>
        </w:trPr>
        <w:tc>
          <w:tcPr>
            <w:tcW w:w="9776" w:type="dxa"/>
            <w:vAlign w:val="top"/>
          </w:tcPr>
          <w:p w14:paraId="4270FA8F" w14:textId="77777777" w:rsidR="00D83622" w:rsidRPr="00003572" w:rsidRDefault="00D83622" w:rsidP="00D83622">
            <w:pPr>
              <w:spacing w:line="240" w:lineRule="auto"/>
              <w:rPr>
                <w:rFonts w:cstheme="minorHAnsi"/>
                <w:u w:val="single"/>
              </w:rPr>
            </w:pPr>
            <w:r w:rsidRPr="00003572">
              <w:rPr>
                <w:rFonts w:cstheme="minorHAnsi"/>
                <w:u w:val="single"/>
              </w:rPr>
              <w:t>Overview</w:t>
            </w:r>
          </w:p>
          <w:p w14:paraId="03491DEA" w14:textId="77777777" w:rsidR="00D83622" w:rsidRPr="00003572" w:rsidRDefault="00D83622" w:rsidP="00D83622">
            <w:pPr>
              <w:spacing w:line="240" w:lineRule="auto"/>
              <w:rPr>
                <w:rFonts w:cstheme="minorHAnsi"/>
              </w:rPr>
            </w:pPr>
            <w:r w:rsidRPr="00003572">
              <w:rPr>
                <w:rFonts w:cstheme="minorHAnsi"/>
              </w:rPr>
              <w:t>Sharing and Discovery Days create welcoming spaces for community members, Local Trusted Organisations (LTOs), voluntary groups, and statutory partners to share experiences, explore ideas, and develop local initiatives.</w:t>
            </w:r>
          </w:p>
          <w:p w14:paraId="270D44F2" w14:textId="77777777" w:rsidR="00D83622" w:rsidRPr="00003572" w:rsidRDefault="00D83622" w:rsidP="00D83622">
            <w:pPr>
              <w:spacing w:line="240" w:lineRule="auto"/>
              <w:rPr>
                <w:rFonts w:cstheme="minorHAnsi"/>
              </w:rPr>
            </w:pPr>
            <w:r w:rsidRPr="00003572">
              <w:rPr>
                <w:rFonts w:cstheme="minorHAnsi"/>
              </w:rPr>
              <w:t>A strengths-based “blank canvas” approach ensures activities start with what matters most to communities, while the Community of Practice (CoP) provides ongoing learning, networking, and access to shared resources.</w:t>
            </w:r>
          </w:p>
          <w:p w14:paraId="431AAE77" w14:textId="1F99F9FF" w:rsidR="00D83622" w:rsidRPr="00003572" w:rsidRDefault="00D83622" w:rsidP="4D783D19">
            <w:pPr>
              <w:spacing w:line="240" w:lineRule="auto"/>
            </w:pPr>
            <w:r w:rsidRPr="4D783D19">
              <w:t>Objective: Strengthen community networks</w:t>
            </w:r>
            <w:r w:rsidR="4C325C53" w:rsidRPr="4D783D19">
              <w:t xml:space="preserve"> and active community participation</w:t>
            </w:r>
            <w:r w:rsidRPr="4D783D19">
              <w:t>, support partnership development, and build confidence and capacity for community-led action across Essex.</w:t>
            </w:r>
          </w:p>
          <w:p w14:paraId="71A3DEB3" w14:textId="77777777" w:rsidR="00D83622" w:rsidRPr="00003572" w:rsidRDefault="00D83622" w:rsidP="00D83622">
            <w:pPr>
              <w:spacing w:line="240" w:lineRule="auto"/>
              <w:rPr>
                <w:rFonts w:cstheme="minorHAnsi"/>
              </w:rPr>
            </w:pPr>
            <w:r w:rsidRPr="00003572">
              <w:rPr>
                <w:rFonts w:cstheme="minorHAnsi"/>
              </w:rPr>
              <w:t>Programme Objectives</w:t>
            </w:r>
          </w:p>
          <w:p w14:paraId="0F1CC81A" w14:textId="0CCD917C" w:rsidR="00D83622" w:rsidRPr="00003572" w:rsidRDefault="2569B4F3" w:rsidP="4D783D19">
            <w:pPr>
              <w:numPr>
                <w:ilvl w:val="0"/>
                <w:numId w:val="19"/>
              </w:numPr>
              <w:spacing w:line="240" w:lineRule="auto"/>
            </w:pPr>
            <w:r w:rsidRPr="4D783D19">
              <w:t>Encourage community members to be actively involved in their communities</w:t>
            </w:r>
          </w:p>
          <w:p w14:paraId="36A36034" w14:textId="449D94FB" w:rsidR="00D83622" w:rsidRPr="00003572" w:rsidRDefault="00D83622" w:rsidP="4D783D19">
            <w:pPr>
              <w:numPr>
                <w:ilvl w:val="0"/>
                <w:numId w:val="19"/>
              </w:numPr>
              <w:spacing w:line="240" w:lineRule="auto"/>
            </w:pPr>
            <w:r w:rsidRPr="4D783D19">
              <w:t>Connect communities and organisations to collaborate effectively</w:t>
            </w:r>
          </w:p>
          <w:p w14:paraId="34AE8960" w14:textId="77777777" w:rsidR="00D83622" w:rsidRPr="00003572" w:rsidRDefault="00D83622" w:rsidP="00D83622">
            <w:pPr>
              <w:numPr>
                <w:ilvl w:val="0"/>
                <w:numId w:val="19"/>
              </w:numPr>
              <w:spacing w:line="240" w:lineRule="auto"/>
              <w:rPr>
                <w:rFonts w:cstheme="minorHAnsi"/>
              </w:rPr>
            </w:pPr>
            <w:r w:rsidRPr="00003572">
              <w:rPr>
                <w:rFonts w:cstheme="minorHAnsi"/>
              </w:rPr>
              <w:t>Support the development of community-led initiatives and partnerships</w:t>
            </w:r>
          </w:p>
          <w:p w14:paraId="26D90397" w14:textId="77777777" w:rsidR="00D83622" w:rsidRPr="00003572" w:rsidRDefault="00D83622" w:rsidP="00D83622">
            <w:pPr>
              <w:numPr>
                <w:ilvl w:val="0"/>
                <w:numId w:val="19"/>
              </w:numPr>
              <w:spacing w:line="240" w:lineRule="auto"/>
              <w:rPr>
                <w:rFonts w:cstheme="minorHAnsi"/>
              </w:rPr>
            </w:pPr>
            <w:r w:rsidRPr="00003572">
              <w:rPr>
                <w:rFonts w:cstheme="minorHAnsi"/>
              </w:rPr>
              <w:t>Facilitate knowledge sharing and learning through the CoP</w:t>
            </w:r>
          </w:p>
          <w:p w14:paraId="6E6B77EB" w14:textId="77777777" w:rsidR="00D83622" w:rsidRPr="00003572" w:rsidRDefault="00D83622" w:rsidP="00D83622">
            <w:pPr>
              <w:numPr>
                <w:ilvl w:val="0"/>
                <w:numId w:val="19"/>
              </w:numPr>
              <w:spacing w:line="240" w:lineRule="auto"/>
              <w:rPr>
                <w:rFonts w:cstheme="minorHAnsi"/>
              </w:rPr>
            </w:pPr>
            <w:r w:rsidRPr="00003572">
              <w:rPr>
                <w:rFonts w:cstheme="minorHAnsi"/>
              </w:rPr>
              <w:t>Build confidence, skills, and capacity in community organisations</w:t>
            </w:r>
          </w:p>
          <w:p w14:paraId="2BE457D3" w14:textId="77777777" w:rsidR="00D83622" w:rsidRDefault="00D83622" w:rsidP="00D83622">
            <w:pPr>
              <w:numPr>
                <w:ilvl w:val="0"/>
                <w:numId w:val="19"/>
              </w:numPr>
              <w:spacing w:line="240" w:lineRule="auto"/>
              <w:rPr>
                <w:rFonts w:cstheme="minorHAnsi"/>
              </w:rPr>
            </w:pPr>
            <w:r w:rsidRPr="00003572">
              <w:rPr>
                <w:rFonts w:cstheme="minorHAnsi"/>
              </w:rPr>
              <w:t>Promote health, wellbeing, and inclusive participation</w:t>
            </w:r>
          </w:p>
          <w:p w14:paraId="17BE8947" w14:textId="77777777" w:rsidR="00D83622" w:rsidRPr="00003572" w:rsidRDefault="00D83622" w:rsidP="00D83622">
            <w:pPr>
              <w:spacing w:line="240" w:lineRule="auto"/>
              <w:ind w:left="720"/>
              <w:rPr>
                <w:rFonts w:cstheme="minorHAnsi"/>
              </w:rPr>
            </w:pPr>
          </w:p>
          <w:p w14:paraId="720A1164" w14:textId="77777777" w:rsidR="00D83622" w:rsidRPr="00003572" w:rsidRDefault="00D83622" w:rsidP="00D83622">
            <w:pPr>
              <w:spacing w:line="240" w:lineRule="auto"/>
              <w:rPr>
                <w:rFonts w:cstheme="minorHAnsi"/>
                <w:u w:val="single"/>
              </w:rPr>
            </w:pPr>
            <w:r w:rsidRPr="00003572">
              <w:rPr>
                <w:rFonts w:cstheme="minorHAnsi"/>
                <w:u w:val="single"/>
              </w:rPr>
              <w:t>Social Value Themes &amp; KPIs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gridCol w:w="3274"/>
              <w:gridCol w:w="4336"/>
            </w:tblGrid>
            <w:tr w:rsidR="00D83622" w:rsidRPr="00003572" w14:paraId="6A1B3003" w14:textId="77777777" w:rsidTr="008C200E">
              <w:trPr>
                <w:tblHeader/>
                <w:tblCellSpacing w:w="15" w:type="dxa"/>
              </w:trPr>
              <w:tc>
                <w:tcPr>
                  <w:tcW w:w="0" w:type="auto"/>
                  <w:vAlign w:val="center"/>
                  <w:hideMark/>
                </w:tcPr>
                <w:p w14:paraId="074A1E12" w14:textId="77777777" w:rsidR="00D83622" w:rsidRPr="00003572" w:rsidRDefault="00D83622" w:rsidP="00D83622">
                  <w:pPr>
                    <w:spacing w:line="240" w:lineRule="auto"/>
                    <w:rPr>
                      <w:rFonts w:cstheme="minorHAnsi"/>
                    </w:rPr>
                  </w:pPr>
                  <w:r w:rsidRPr="00003572">
                    <w:rPr>
                      <w:rFonts w:cstheme="minorHAnsi"/>
                    </w:rPr>
                    <w:t>Theme</w:t>
                  </w:r>
                </w:p>
              </w:tc>
              <w:tc>
                <w:tcPr>
                  <w:tcW w:w="0" w:type="auto"/>
                  <w:vAlign w:val="center"/>
                  <w:hideMark/>
                </w:tcPr>
                <w:p w14:paraId="41704C04" w14:textId="77777777" w:rsidR="00D83622" w:rsidRPr="00003572" w:rsidRDefault="00D83622" w:rsidP="00D83622">
                  <w:pPr>
                    <w:spacing w:line="240" w:lineRule="auto"/>
                    <w:rPr>
                      <w:rFonts w:cstheme="minorHAnsi"/>
                    </w:rPr>
                  </w:pPr>
                  <w:r w:rsidRPr="00003572">
                    <w:rPr>
                      <w:rFonts w:cstheme="minorHAnsi"/>
                    </w:rPr>
                    <w:t>Outcome</w:t>
                  </w:r>
                </w:p>
              </w:tc>
              <w:tc>
                <w:tcPr>
                  <w:tcW w:w="0" w:type="auto"/>
                  <w:vAlign w:val="center"/>
                  <w:hideMark/>
                </w:tcPr>
                <w:p w14:paraId="0C210721" w14:textId="77777777" w:rsidR="00D83622" w:rsidRPr="00003572" w:rsidRDefault="00D83622" w:rsidP="00D83622">
                  <w:pPr>
                    <w:spacing w:line="240" w:lineRule="auto"/>
                    <w:rPr>
                      <w:rFonts w:cstheme="minorHAnsi"/>
                    </w:rPr>
                  </w:pPr>
                  <w:r w:rsidRPr="00003572">
                    <w:rPr>
                      <w:rFonts w:cstheme="minorHAnsi"/>
                    </w:rPr>
                    <w:t>KPI / Metric</w:t>
                  </w:r>
                </w:p>
              </w:tc>
            </w:tr>
            <w:tr w:rsidR="00D83622" w:rsidRPr="00003572" w14:paraId="7BA1B4A2" w14:textId="77777777" w:rsidTr="008C200E">
              <w:trPr>
                <w:tblCellSpacing w:w="15" w:type="dxa"/>
              </w:trPr>
              <w:tc>
                <w:tcPr>
                  <w:tcW w:w="0" w:type="auto"/>
                  <w:vAlign w:val="center"/>
                  <w:hideMark/>
                </w:tcPr>
                <w:p w14:paraId="300DD7AE" w14:textId="77777777" w:rsidR="00D83622" w:rsidRPr="00003572" w:rsidRDefault="00D83622" w:rsidP="00D83622">
                  <w:pPr>
                    <w:spacing w:line="240" w:lineRule="auto"/>
                    <w:rPr>
                      <w:rFonts w:cstheme="minorHAnsi"/>
                    </w:rPr>
                  </w:pPr>
                  <w:r w:rsidRPr="00003572">
                    <w:rPr>
                      <w:rFonts w:cstheme="minorHAnsi"/>
                    </w:rPr>
                    <w:t>Health &amp; Wellbeing</w:t>
                  </w:r>
                </w:p>
              </w:tc>
              <w:tc>
                <w:tcPr>
                  <w:tcW w:w="0" w:type="auto"/>
                  <w:vAlign w:val="center"/>
                  <w:hideMark/>
                </w:tcPr>
                <w:p w14:paraId="1E17F9F7" w14:textId="77777777" w:rsidR="00D83622" w:rsidRPr="00003572" w:rsidRDefault="00D83622" w:rsidP="00D83622">
                  <w:pPr>
                    <w:spacing w:line="240" w:lineRule="auto"/>
                    <w:rPr>
                      <w:rFonts w:cstheme="minorHAnsi"/>
                    </w:rPr>
                  </w:pPr>
                  <w:r w:rsidRPr="00003572">
                    <w:rPr>
                      <w:rFonts w:cstheme="minorHAnsi"/>
                    </w:rPr>
                    <w:t>Communities develop healthy lifestyle initiatives</w:t>
                  </w:r>
                </w:p>
              </w:tc>
              <w:tc>
                <w:tcPr>
                  <w:tcW w:w="0" w:type="auto"/>
                  <w:vAlign w:val="center"/>
                  <w:hideMark/>
                </w:tcPr>
                <w:p w14:paraId="18DD44B6" w14:textId="77777777" w:rsidR="00D83622" w:rsidRPr="00003572" w:rsidRDefault="00D83622" w:rsidP="00D83622">
                  <w:pPr>
                    <w:spacing w:line="240" w:lineRule="auto"/>
                    <w:rPr>
                      <w:rFonts w:cstheme="minorHAnsi"/>
                    </w:rPr>
                  </w:pPr>
                  <w:r w:rsidRPr="00003572">
                    <w:rPr>
                      <w:rFonts w:cstheme="minorHAnsi"/>
                    </w:rPr>
                    <w:t>Community projects around cycling, gardening, mental wellbeing</w:t>
                  </w:r>
                </w:p>
              </w:tc>
            </w:tr>
            <w:tr w:rsidR="00D83622" w:rsidRPr="00003572" w14:paraId="4A3A447A" w14:textId="77777777" w:rsidTr="008C200E">
              <w:trPr>
                <w:tblCellSpacing w:w="15" w:type="dxa"/>
              </w:trPr>
              <w:tc>
                <w:tcPr>
                  <w:tcW w:w="0" w:type="auto"/>
                  <w:vAlign w:val="center"/>
                  <w:hideMark/>
                </w:tcPr>
                <w:p w14:paraId="059BA5BD" w14:textId="77777777" w:rsidR="00D83622" w:rsidRPr="00003572" w:rsidRDefault="00D83622" w:rsidP="00D83622">
                  <w:pPr>
                    <w:spacing w:line="240" w:lineRule="auto"/>
                    <w:rPr>
                      <w:rFonts w:cstheme="minorHAnsi"/>
                    </w:rPr>
                  </w:pPr>
                  <w:r w:rsidRPr="00003572">
                    <w:rPr>
                      <w:rFonts w:cstheme="minorHAnsi"/>
                    </w:rPr>
                    <w:t>Social Inclusion</w:t>
                  </w:r>
                </w:p>
              </w:tc>
              <w:tc>
                <w:tcPr>
                  <w:tcW w:w="0" w:type="auto"/>
                  <w:vAlign w:val="center"/>
                  <w:hideMark/>
                </w:tcPr>
                <w:p w14:paraId="3F31F2F1" w14:textId="77777777" w:rsidR="00D83622" w:rsidRPr="00003572" w:rsidRDefault="00D83622" w:rsidP="00D83622">
                  <w:pPr>
                    <w:spacing w:line="240" w:lineRule="auto"/>
                    <w:rPr>
                      <w:rFonts w:cstheme="minorHAnsi"/>
                    </w:rPr>
                  </w:pPr>
                  <w:r w:rsidRPr="00003572">
                    <w:rPr>
                      <w:rFonts w:cstheme="minorHAnsi"/>
                    </w:rPr>
                    <w:t>Diverse community participation</w:t>
                  </w:r>
                </w:p>
              </w:tc>
              <w:tc>
                <w:tcPr>
                  <w:tcW w:w="0" w:type="auto"/>
                  <w:vAlign w:val="center"/>
                  <w:hideMark/>
                </w:tcPr>
                <w:p w14:paraId="7A41D2A0" w14:textId="77777777" w:rsidR="00D83622" w:rsidRPr="00003572" w:rsidRDefault="00D83622" w:rsidP="00D83622">
                  <w:pPr>
                    <w:spacing w:line="240" w:lineRule="auto"/>
                    <w:rPr>
                      <w:rFonts w:cstheme="minorHAnsi"/>
                    </w:rPr>
                  </w:pPr>
                  <w:r w:rsidRPr="00003572">
                    <w:rPr>
                      <w:rFonts w:cstheme="minorHAnsi"/>
                    </w:rPr>
                    <w:t>200+ event participants; LTOs &amp; voluntary groups engaged</w:t>
                  </w:r>
                </w:p>
              </w:tc>
            </w:tr>
            <w:tr w:rsidR="00D83622" w:rsidRPr="00003572" w14:paraId="5071E237" w14:textId="77777777" w:rsidTr="008C200E">
              <w:trPr>
                <w:tblCellSpacing w:w="15" w:type="dxa"/>
              </w:trPr>
              <w:tc>
                <w:tcPr>
                  <w:tcW w:w="0" w:type="auto"/>
                  <w:vAlign w:val="center"/>
                  <w:hideMark/>
                </w:tcPr>
                <w:p w14:paraId="3861DC01" w14:textId="77777777" w:rsidR="00D83622" w:rsidRPr="00003572" w:rsidRDefault="00D83622" w:rsidP="00D83622">
                  <w:pPr>
                    <w:spacing w:line="240" w:lineRule="auto"/>
                    <w:rPr>
                      <w:rFonts w:cstheme="minorHAnsi"/>
                    </w:rPr>
                  </w:pPr>
                  <w:r w:rsidRPr="00003572">
                    <w:rPr>
                      <w:rFonts w:cstheme="minorHAnsi"/>
                    </w:rPr>
                    <w:lastRenderedPageBreak/>
                    <w:t>Community Cohesion</w:t>
                  </w:r>
                </w:p>
              </w:tc>
              <w:tc>
                <w:tcPr>
                  <w:tcW w:w="0" w:type="auto"/>
                  <w:vAlign w:val="center"/>
                  <w:hideMark/>
                </w:tcPr>
                <w:p w14:paraId="1D41EA7B" w14:textId="77777777" w:rsidR="00D83622" w:rsidRPr="00003572" w:rsidRDefault="00D83622" w:rsidP="00D83622">
                  <w:pPr>
                    <w:spacing w:line="240" w:lineRule="auto"/>
                    <w:rPr>
                      <w:rFonts w:cstheme="minorHAnsi"/>
                    </w:rPr>
                  </w:pPr>
                  <w:r w:rsidRPr="00003572">
                    <w:rPr>
                      <w:rFonts w:cstheme="minorHAnsi"/>
                    </w:rPr>
                    <w:t>Stronger local networks</w:t>
                  </w:r>
                </w:p>
              </w:tc>
              <w:tc>
                <w:tcPr>
                  <w:tcW w:w="0" w:type="auto"/>
                  <w:vAlign w:val="center"/>
                  <w:hideMark/>
                </w:tcPr>
                <w:p w14:paraId="04CD3B8A" w14:textId="77777777" w:rsidR="00D83622" w:rsidRPr="00003572" w:rsidRDefault="00D83622" w:rsidP="00D83622">
                  <w:pPr>
                    <w:spacing w:line="240" w:lineRule="auto"/>
                    <w:rPr>
                      <w:rFonts w:cstheme="minorHAnsi"/>
                    </w:rPr>
                  </w:pPr>
                  <w:r w:rsidRPr="00003572">
                    <w:rPr>
                      <w:rFonts w:cstheme="minorHAnsi"/>
                    </w:rPr>
                    <w:t>New collaborations between 2–3 LTOs per event</w:t>
                  </w:r>
                </w:p>
              </w:tc>
            </w:tr>
            <w:tr w:rsidR="00D83622" w:rsidRPr="00003572" w14:paraId="2F5415D9" w14:textId="77777777" w:rsidTr="008C200E">
              <w:trPr>
                <w:tblCellSpacing w:w="15" w:type="dxa"/>
              </w:trPr>
              <w:tc>
                <w:tcPr>
                  <w:tcW w:w="0" w:type="auto"/>
                  <w:vAlign w:val="center"/>
                  <w:hideMark/>
                </w:tcPr>
                <w:p w14:paraId="3C0043F4" w14:textId="77777777" w:rsidR="00D83622" w:rsidRPr="00003572" w:rsidRDefault="00D83622" w:rsidP="00D83622">
                  <w:pPr>
                    <w:spacing w:line="240" w:lineRule="auto"/>
                    <w:rPr>
                      <w:rFonts w:cstheme="minorHAnsi"/>
                    </w:rPr>
                  </w:pPr>
                  <w:r w:rsidRPr="00003572">
                    <w:rPr>
                      <w:rFonts w:cstheme="minorHAnsi"/>
                    </w:rPr>
                    <w:t>Skills Development</w:t>
                  </w:r>
                </w:p>
              </w:tc>
              <w:tc>
                <w:tcPr>
                  <w:tcW w:w="0" w:type="auto"/>
                  <w:vAlign w:val="center"/>
                  <w:hideMark/>
                </w:tcPr>
                <w:p w14:paraId="713BB7A9" w14:textId="77777777" w:rsidR="00D83622" w:rsidRPr="00003572" w:rsidRDefault="00D83622" w:rsidP="00D83622">
                  <w:pPr>
                    <w:spacing w:line="240" w:lineRule="auto"/>
                    <w:rPr>
                      <w:rFonts w:cstheme="minorHAnsi"/>
                    </w:rPr>
                  </w:pPr>
                  <w:r w:rsidRPr="00003572">
                    <w:rPr>
                      <w:rFonts w:cstheme="minorHAnsi"/>
                    </w:rPr>
                    <w:t>Improved confidence &amp; capacity</w:t>
                  </w:r>
                </w:p>
              </w:tc>
              <w:tc>
                <w:tcPr>
                  <w:tcW w:w="0" w:type="auto"/>
                  <w:vAlign w:val="center"/>
                  <w:hideMark/>
                </w:tcPr>
                <w:p w14:paraId="1B01CE4D" w14:textId="77777777" w:rsidR="00D83622" w:rsidRPr="00003572" w:rsidRDefault="00D83622" w:rsidP="00D83622">
                  <w:pPr>
                    <w:spacing w:line="240" w:lineRule="auto"/>
                    <w:rPr>
                      <w:rFonts w:cstheme="minorHAnsi"/>
                    </w:rPr>
                  </w:pPr>
                  <w:r w:rsidRPr="00003572">
                    <w:rPr>
                      <w:rFonts w:cstheme="minorHAnsi"/>
                    </w:rPr>
                    <w:t>160+ CoP members; access to workshops, resources &amp; case studies</w:t>
                  </w:r>
                </w:p>
              </w:tc>
            </w:tr>
          </w:tbl>
          <w:p w14:paraId="7239FDB7" w14:textId="77777777" w:rsidR="00D83622" w:rsidRDefault="00D83622" w:rsidP="00D83622">
            <w:pPr>
              <w:spacing w:line="240" w:lineRule="auto"/>
              <w:rPr>
                <w:rFonts w:cstheme="minorHAnsi"/>
              </w:rPr>
            </w:pPr>
          </w:p>
          <w:p w14:paraId="47D6F050" w14:textId="03A5299C" w:rsidR="00D83622" w:rsidRPr="00003572" w:rsidRDefault="00D83622" w:rsidP="00D83622">
            <w:pPr>
              <w:spacing w:line="240" w:lineRule="auto"/>
              <w:rPr>
                <w:rFonts w:cstheme="minorHAnsi"/>
              </w:rPr>
            </w:pPr>
            <w:r w:rsidRPr="00003572">
              <w:rPr>
                <w:rFonts w:cstheme="minorHAnsi"/>
              </w:rPr>
              <w:t>Delivery &amp; Resources</w:t>
            </w:r>
          </w:p>
          <w:p w14:paraId="1BCDF5AC" w14:textId="70FDEFCE" w:rsidR="00D83622" w:rsidRPr="00003572" w:rsidRDefault="00D83622" w:rsidP="309950A9">
            <w:pPr>
              <w:numPr>
                <w:ilvl w:val="0"/>
                <w:numId w:val="20"/>
              </w:numPr>
              <w:spacing w:line="240" w:lineRule="auto"/>
            </w:pPr>
            <w:r w:rsidRPr="309950A9">
              <w:t xml:space="preserve">Steps: Place Plan insights → Stakeholder engagement → Venue selection → Promotion → Facilitated sessions → </w:t>
            </w:r>
            <w:r w:rsidR="29A1FF00" w:rsidRPr="309950A9">
              <w:t>post-event</w:t>
            </w:r>
            <w:r w:rsidRPr="309950A9">
              <w:t xml:space="preserve"> networking</w:t>
            </w:r>
          </w:p>
          <w:p w14:paraId="47567B56" w14:textId="77777777" w:rsidR="00D83622" w:rsidRPr="00003572" w:rsidRDefault="00D83622" w:rsidP="00D83622">
            <w:pPr>
              <w:numPr>
                <w:ilvl w:val="0"/>
                <w:numId w:val="20"/>
              </w:numPr>
              <w:spacing w:line="240" w:lineRule="auto"/>
              <w:rPr>
                <w:rFonts w:cstheme="minorHAnsi"/>
              </w:rPr>
            </w:pPr>
            <w:r w:rsidRPr="00003572">
              <w:rPr>
                <w:rFonts w:cstheme="minorHAnsi"/>
              </w:rPr>
              <w:t>Resources: Community venues &amp; schools, facilitators, LTO networks, CoP online platform, newsletters, shared learning resources</w:t>
            </w:r>
          </w:p>
          <w:p w14:paraId="5BC66064" w14:textId="77777777" w:rsidR="00D83622" w:rsidRPr="00003572" w:rsidRDefault="00D83622" w:rsidP="00D83622">
            <w:pPr>
              <w:spacing w:line="240" w:lineRule="auto"/>
              <w:rPr>
                <w:rFonts w:cstheme="minorHAnsi"/>
              </w:rPr>
            </w:pPr>
          </w:p>
          <w:p w14:paraId="646CC779" w14:textId="77777777" w:rsidR="00D83622" w:rsidRPr="00003572" w:rsidRDefault="00D83622" w:rsidP="00D83622">
            <w:pPr>
              <w:spacing w:line="240" w:lineRule="auto"/>
              <w:rPr>
                <w:rFonts w:cstheme="minorHAnsi"/>
                <w:u w:val="single"/>
              </w:rPr>
            </w:pPr>
            <w:r w:rsidRPr="00003572">
              <w:rPr>
                <w:rFonts w:cstheme="minorHAnsi"/>
                <w:u w:val="single"/>
              </w:rPr>
              <w:t>Results &amp; Impact</w:t>
            </w:r>
          </w:p>
          <w:p w14:paraId="3C2D636B" w14:textId="77777777" w:rsidR="00D83622" w:rsidRPr="00003572" w:rsidRDefault="00D83622" w:rsidP="00D83622">
            <w:pPr>
              <w:spacing w:line="240" w:lineRule="auto"/>
              <w:rPr>
                <w:rFonts w:cstheme="minorHAnsi"/>
              </w:rPr>
            </w:pPr>
            <w:r w:rsidRPr="00003572">
              <w:rPr>
                <w:rFonts w:cstheme="minorHAnsi"/>
              </w:rPr>
              <w:t>Participation &amp; Reach:</w:t>
            </w:r>
          </w:p>
          <w:p w14:paraId="344BE061" w14:textId="77777777" w:rsidR="00D83622" w:rsidRPr="00003572" w:rsidRDefault="00D83622" w:rsidP="00D83622">
            <w:pPr>
              <w:numPr>
                <w:ilvl w:val="0"/>
                <w:numId w:val="21"/>
              </w:numPr>
              <w:spacing w:line="240" w:lineRule="auto"/>
              <w:rPr>
                <w:rFonts w:cstheme="minorHAnsi"/>
              </w:rPr>
            </w:pPr>
            <w:r w:rsidRPr="00003572">
              <w:rPr>
                <w:rFonts w:cstheme="minorHAnsi"/>
              </w:rPr>
              <w:t>200+ event participants</w:t>
            </w:r>
          </w:p>
          <w:p w14:paraId="5DEBC147" w14:textId="77777777" w:rsidR="00D83622" w:rsidRPr="00003572" w:rsidRDefault="00D83622" w:rsidP="00D83622">
            <w:pPr>
              <w:numPr>
                <w:ilvl w:val="0"/>
                <w:numId w:val="21"/>
              </w:numPr>
              <w:spacing w:line="240" w:lineRule="auto"/>
              <w:rPr>
                <w:rFonts w:cstheme="minorHAnsi"/>
              </w:rPr>
            </w:pPr>
            <w:r w:rsidRPr="00003572">
              <w:rPr>
                <w:rFonts w:cstheme="minorHAnsi"/>
              </w:rPr>
              <w:t>160+ CoP members</w:t>
            </w:r>
          </w:p>
          <w:p w14:paraId="3862AB0B" w14:textId="77777777" w:rsidR="00D83622" w:rsidRPr="00003572" w:rsidRDefault="00D83622" w:rsidP="00D83622">
            <w:pPr>
              <w:spacing w:line="240" w:lineRule="auto"/>
              <w:rPr>
                <w:rFonts w:cstheme="minorHAnsi"/>
              </w:rPr>
            </w:pPr>
            <w:r w:rsidRPr="00003572">
              <w:rPr>
                <w:rFonts w:cstheme="minorHAnsi"/>
              </w:rPr>
              <w:t>Partnerships:</w:t>
            </w:r>
          </w:p>
          <w:p w14:paraId="3C488E34" w14:textId="77777777" w:rsidR="00D83622" w:rsidRPr="00003572" w:rsidRDefault="00D83622" w:rsidP="00D83622">
            <w:pPr>
              <w:numPr>
                <w:ilvl w:val="0"/>
                <w:numId w:val="22"/>
              </w:numPr>
              <w:spacing w:line="240" w:lineRule="auto"/>
              <w:rPr>
                <w:rFonts w:cstheme="minorHAnsi"/>
              </w:rPr>
            </w:pPr>
            <w:r w:rsidRPr="00003572">
              <w:rPr>
                <w:rFonts w:cstheme="minorHAnsi"/>
              </w:rPr>
              <w:t>Multiple new collaborations formed between LTOs that had not previously worked together</w:t>
            </w:r>
          </w:p>
          <w:p w14:paraId="46842620" w14:textId="77777777" w:rsidR="00D83622" w:rsidRPr="00003572" w:rsidRDefault="00D83622" w:rsidP="00D83622">
            <w:pPr>
              <w:spacing w:line="240" w:lineRule="auto"/>
              <w:rPr>
                <w:rFonts w:cstheme="minorHAnsi"/>
              </w:rPr>
            </w:pPr>
            <w:r w:rsidRPr="00003572">
              <w:rPr>
                <w:rFonts w:cstheme="minorHAnsi"/>
              </w:rPr>
              <w:t>Capacity Building:</w:t>
            </w:r>
          </w:p>
          <w:p w14:paraId="56B76D2B" w14:textId="77777777" w:rsidR="00D83622" w:rsidRPr="00003572" w:rsidRDefault="00D83622" w:rsidP="00D83622">
            <w:pPr>
              <w:numPr>
                <w:ilvl w:val="0"/>
                <w:numId w:val="23"/>
              </w:numPr>
              <w:spacing w:line="240" w:lineRule="auto"/>
              <w:rPr>
                <w:rFonts w:cstheme="minorHAnsi"/>
              </w:rPr>
            </w:pPr>
            <w:r w:rsidRPr="00003572">
              <w:rPr>
                <w:rFonts w:cstheme="minorHAnsi"/>
              </w:rPr>
              <w:t>Participants gained confidence to develop community projects</w:t>
            </w:r>
          </w:p>
          <w:p w14:paraId="55E3F8C4" w14:textId="77777777" w:rsidR="00D83622" w:rsidRPr="00003572" w:rsidRDefault="00D83622" w:rsidP="00D83622">
            <w:pPr>
              <w:numPr>
                <w:ilvl w:val="0"/>
                <w:numId w:val="23"/>
              </w:numPr>
              <w:spacing w:line="240" w:lineRule="auto"/>
              <w:rPr>
                <w:rFonts w:cstheme="minorHAnsi"/>
              </w:rPr>
            </w:pPr>
            <w:r w:rsidRPr="00003572">
              <w:rPr>
                <w:rFonts w:cstheme="minorHAnsi"/>
              </w:rPr>
              <w:t>Ongoing access to learning through CoP platform</w:t>
            </w:r>
          </w:p>
          <w:p w14:paraId="25CB517E" w14:textId="77777777" w:rsidR="00D83622" w:rsidRPr="00003572" w:rsidRDefault="00D83622" w:rsidP="00D83622">
            <w:pPr>
              <w:spacing w:line="240" w:lineRule="auto"/>
              <w:rPr>
                <w:rFonts w:cstheme="minorHAnsi"/>
              </w:rPr>
            </w:pPr>
            <w:r w:rsidRPr="00003572">
              <w:rPr>
                <w:rFonts w:cstheme="minorHAnsi"/>
              </w:rPr>
              <w:t>Knowledge Sharing:</w:t>
            </w:r>
          </w:p>
          <w:p w14:paraId="040223E5" w14:textId="77777777" w:rsidR="00D83622" w:rsidRPr="00003572" w:rsidRDefault="00D83622" w:rsidP="00D83622">
            <w:pPr>
              <w:numPr>
                <w:ilvl w:val="0"/>
                <w:numId w:val="24"/>
              </w:numPr>
              <w:spacing w:line="240" w:lineRule="auto"/>
              <w:rPr>
                <w:rFonts w:cstheme="minorHAnsi"/>
              </w:rPr>
            </w:pPr>
            <w:r w:rsidRPr="00003572">
              <w:rPr>
                <w:rFonts w:cstheme="minorHAnsi"/>
              </w:rPr>
              <w:t>Monthly newsletters and case studies circulated</w:t>
            </w:r>
          </w:p>
          <w:p w14:paraId="6127C8DA" w14:textId="77777777" w:rsidR="00D83622" w:rsidRPr="00003572" w:rsidRDefault="00D83622" w:rsidP="00D83622">
            <w:pPr>
              <w:numPr>
                <w:ilvl w:val="0"/>
                <w:numId w:val="24"/>
              </w:numPr>
              <w:spacing w:line="240" w:lineRule="auto"/>
              <w:rPr>
                <w:rFonts w:cstheme="minorHAnsi"/>
              </w:rPr>
            </w:pPr>
            <w:r w:rsidRPr="00003572">
              <w:rPr>
                <w:rFonts w:cstheme="minorHAnsi"/>
              </w:rPr>
              <w:t>Signposting to ECC Community Exchange &amp; Wishing Wall</w:t>
            </w:r>
          </w:p>
          <w:p w14:paraId="4E514A08" w14:textId="77777777" w:rsidR="00D83622" w:rsidRPr="00003572" w:rsidRDefault="00D83622" w:rsidP="00D83622">
            <w:pPr>
              <w:spacing w:line="240" w:lineRule="auto"/>
              <w:rPr>
                <w:rFonts w:cstheme="minorHAnsi"/>
              </w:rPr>
            </w:pPr>
            <w:r w:rsidRPr="00003572">
              <w:rPr>
                <w:rFonts w:cstheme="minorHAnsi"/>
              </w:rPr>
              <w:t>Stakeholder Feedback:</w:t>
            </w:r>
          </w:p>
          <w:p w14:paraId="1F91F1E5" w14:textId="77777777" w:rsidR="00D83622" w:rsidRPr="00003572" w:rsidRDefault="00D83622" w:rsidP="00D83622">
            <w:pPr>
              <w:spacing w:line="240" w:lineRule="auto"/>
              <w:rPr>
                <w:rFonts w:cstheme="minorHAnsi"/>
              </w:rPr>
            </w:pPr>
            <w:r w:rsidRPr="00003572">
              <w:rPr>
                <w:rFonts w:cstheme="minorHAnsi"/>
              </w:rPr>
              <w:t>“An excellent event for being able to go away inspired to get deeper involved in my community.”</w:t>
            </w:r>
            <w:r w:rsidRPr="00003572">
              <w:rPr>
                <w:rFonts w:cstheme="minorHAnsi"/>
              </w:rPr>
              <w:br/>
              <w:t>“I wasn’t sure what to expect but today has been really informative and I have met new people to collaborate with.”</w:t>
            </w:r>
          </w:p>
          <w:p w14:paraId="3CF9A1A1" w14:textId="77777777" w:rsidR="00D83622" w:rsidRPr="00003572" w:rsidRDefault="00D83622" w:rsidP="00D83622">
            <w:pPr>
              <w:spacing w:line="240" w:lineRule="auto"/>
              <w:rPr>
                <w:rFonts w:cstheme="minorHAnsi"/>
              </w:rPr>
            </w:pPr>
            <w:r w:rsidRPr="00003572">
              <w:rPr>
                <w:rFonts w:cstheme="minorHAnsi"/>
              </w:rPr>
              <w:t>Feedback informed future planning, emphasizing interactive formats and structured networking to support collaboration.</w:t>
            </w:r>
          </w:p>
          <w:p w14:paraId="4FBA633F" w14:textId="77777777" w:rsidR="00D83622" w:rsidRPr="00003572" w:rsidRDefault="00D83622" w:rsidP="00D83622">
            <w:pPr>
              <w:spacing w:line="240" w:lineRule="auto"/>
              <w:rPr>
                <w:rFonts w:cstheme="minorHAnsi"/>
              </w:rPr>
            </w:pPr>
          </w:p>
          <w:p w14:paraId="3C7E45D9" w14:textId="77777777" w:rsidR="00D83622" w:rsidRPr="00003572" w:rsidRDefault="00D83622" w:rsidP="00D83622">
            <w:pPr>
              <w:spacing w:line="240" w:lineRule="auto"/>
              <w:rPr>
                <w:rFonts w:cstheme="minorHAnsi"/>
                <w:u w:val="single"/>
              </w:rPr>
            </w:pPr>
            <w:r w:rsidRPr="00003572">
              <w:rPr>
                <w:rFonts w:cstheme="minorHAnsi"/>
                <w:u w:val="single"/>
              </w:rPr>
              <w:t>Challenges &amp; Lessons Learned</w:t>
            </w:r>
          </w:p>
          <w:p w14:paraId="534A6721" w14:textId="77777777" w:rsidR="00D83622" w:rsidRPr="00003572" w:rsidRDefault="00D83622" w:rsidP="00D83622">
            <w:pPr>
              <w:numPr>
                <w:ilvl w:val="0"/>
                <w:numId w:val="25"/>
              </w:numPr>
              <w:spacing w:line="240" w:lineRule="auto"/>
              <w:rPr>
                <w:rFonts w:cstheme="minorHAnsi"/>
              </w:rPr>
            </w:pPr>
            <w:r w:rsidRPr="00003572">
              <w:rPr>
                <w:rFonts w:cstheme="minorHAnsi"/>
              </w:rPr>
              <w:t>Expansion into new areas required longer timelines to build trust</w:t>
            </w:r>
          </w:p>
          <w:p w14:paraId="686339E6" w14:textId="77777777" w:rsidR="00D83622" w:rsidRPr="00003572" w:rsidRDefault="00D83622" w:rsidP="00D83622">
            <w:pPr>
              <w:numPr>
                <w:ilvl w:val="0"/>
                <w:numId w:val="25"/>
              </w:numPr>
              <w:spacing w:line="240" w:lineRule="auto"/>
              <w:rPr>
                <w:rFonts w:cstheme="minorHAnsi"/>
              </w:rPr>
            </w:pPr>
            <w:r w:rsidRPr="00003572">
              <w:rPr>
                <w:rFonts w:cstheme="minorHAnsi"/>
              </w:rPr>
              <w:t>Realistic planning and early stakeholder engagement are critical</w:t>
            </w:r>
          </w:p>
          <w:p w14:paraId="41B10F63" w14:textId="77777777" w:rsidR="00D83622" w:rsidRPr="00003572" w:rsidRDefault="00D83622" w:rsidP="00D83622">
            <w:pPr>
              <w:numPr>
                <w:ilvl w:val="0"/>
                <w:numId w:val="25"/>
              </w:numPr>
              <w:spacing w:line="240" w:lineRule="auto"/>
              <w:rPr>
                <w:rFonts w:cstheme="minorHAnsi"/>
              </w:rPr>
            </w:pPr>
            <w:r w:rsidRPr="00003572">
              <w:rPr>
                <w:rFonts w:cstheme="minorHAnsi"/>
              </w:rPr>
              <w:t>Stronger, more sustainable partnerships developed as a result</w:t>
            </w:r>
          </w:p>
          <w:p w14:paraId="40A812D8" w14:textId="77777777" w:rsidR="00D83622" w:rsidRPr="00003572" w:rsidRDefault="00D83622" w:rsidP="00D83622">
            <w:pPr>
              <w:spacing w:line="240" w:lineRule="auto"/>
              <w:rPr>
                <w:rFonts w:cstheme="minorHAnsi"/>
              </w:rPr>
            </w:pPr>
          </w:p>
          <w:p w14:paraId="0AE7C60F" w14:textId="77777777" w:rsidR="00D83622" w:rsidRPr="00003572" w:rsidRDefault="00D83622" w:rsidP="00D83622">
            <w:pPr>
              <w:spacing w:line="240" w:lineRule="auto"/>
              <w:rPr>
                <w:rFonts w:cstheme="minorHAnsi"/>
                <w:u w:val="single"/>
              </w:rPr>
            </w:pPr>
            <w:r w:rsidRPr="00003572">
              <w:rPr>
                <w:rFonts w:cstheme="minorHAnsi"/>
                <w:u w:val="single"/>
              </w:rPr>
              <w:t>Social Value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8"/>
              <w:gridCol w:w="7058"/>
            </w:tblGrid>
            <w:tr w:rsidR="00D83622" w:rsidRPr="00003572" w14:paraId="1C86695C" w14:textId="77777777" w:rsidTr="008C200E">
              <w:trPr>
                <w:tblHeader/>
                <w:tblCellSpacing w:w="15" w:type="dxa"/>
              </w:trPr>
              <w:tc>
                <w:tcPr>
                  <w:tcW w:w="0" w:type="auto"/>
                  <w:vAlign w:val="center"/>
                  <w:hideMark/>
                </w:tcPr>
                <w:p w14:paraId="78A5DBE7" w14:textId="77777777" w:rsidR="00D83622" w:rsidRPr="00003572" w:rsidRDefault="00D83622" w:rsidP="00D83622">
                  <w:pPr>
                    <w:spacing w:line="240" w:lineRule="auto"/>
                    <w:rPr>
                      <w:rFonts w:cstheme="minorHAnsi"/>
                    </w:rPr>
                  </w:pPr>
                  <w:r w:rsidRPr="00003572">
                    <w:rPr>
                      <w:rFonts w:cstheme="minorHAnsi"/>
                    </w:rPr>
                    <w:t>Metric</w:t>
                  </w:r>
                </w:p>
              </w:tc>
              <w:tc>
                <w:tcPr>
                  <w:tcW w:w="0" w:type="auto"/>
                  <w:vAlign w:val="center"/>
                  <w:hideMark/>
                </w:tcPr>
                <w:p w14:paraId="0DF21E70" w14:textId="77777777" w:rsidR="00D83622" w:rsidRPr="00003572" w:rsidRDefault="00D83622" w:rsidP="00D83622">
                  <w:pPr>
                    <w:spacing w:line="240" w:lineRule="auto"/>
                    <w:rPr>
                      <w:rFonts w:cstheme="minorHAnsi"/>
                    </w:rPr>
                  </w:pPr>
                  <w:r w:rsidRPr="00003572">
                    <w:rPr>
                      <w:rFonts w:cstheme="minorHAnsi"/>
                    </w:rPr>
                    <w:t>Impact</w:t>
                  </w:r>
                </w:p>
              </w:tc>
            </w:tr>
            <w:tr w:rsidR="00D83622" w:rsidRPr="00003572" w14:paraId="7EBA09F5" w14:textId="77777777" w:rsidTr="008C200E">
              <w:trPr>
                <w:tblCellSpacing w:w="15" w:type="dxa"/>
              </w:trPr>
              <w:tc>
                <w:tcPr>
                  <w:tcW w:w="0" w:type="auto"/>
                  <w:vAlign w:val="center"/>
                  <w:hideMark/>
                </w:tcPr>
                <w:p w14:paraId="6B84AA83" w14:textId="77777777" w:rsidR="00D83622" w:rsidRPr="00003572" w:rsidRDefault="00D83622" w:rsidP="00D83622">
                  <w:pPr>
                    <w:spacing w:line="240" w:lineRule="auto"/>
                    <w:rPr>
                      <w:rFonts w:cstheme="minorHAnsi"/>
                    </w:rPr>
                  </w:pPr>
                  <w:r w:rsidRPr="00003572">
                    <w:rPr>
                      <w:rFonts w:cstheme="minorHAnsi"/>
                    </w:rPr>
                    <w:t>Community Engagement</w:t>
                  </w:r>
                </w:p>
              </w:tc>
              <w:tc>
                <w:tcPr>
                  <w:tcW w:w="0" w:type="auto"/>
                  <w:vAlign w:val="center"/>
                  <w:hideMark/>
                </w:tcPr>
                <w:p w14:paraId="5B8E575A" w14:textId="77777777" w:rsidR="00D83622" w:rsidRPr="00003572" w:rsidRDefault="00D83622" w:rsidP="00D83622">
                  <w:pPr>
                    <w:spacing w:line="240" w:lineRule="auto"/>
                    <w:rPr>
                      <w:rFonts w:cstheme="minorHAnsi"/>
                    </w:rPr>
                  </w:pPr>
                  <w:r w:rsidRPr="00003572">
                    <w:rPr>
                      <w:rFonts w:cstheme="minorHAnsi"/>
                    </w:rPr>
                    <w:t>200+ participants; 160+ CoP members</w:t>
                  </w:r>
                </w:p>
              </w:tc>
            </w:tr>
            <w:tr w:rsidR="00D83622" w:rsidRPr="00003572" w14:paraId="479B1D61" w14:textId="77777777" w:rsidTr="008C200E">
              <w:trPr>
                <w:tblCellSpacing w:w="15" w:type="dxa"/>
              </w:trPr>
              <w:tc>
                <w:tcPr>
                  <w:tcW w:w="0" w:type="auto"/>
                  <w:vAlign w:val="center"/>
                  <w:hideMark/>
                </w:tcPr>
                <w:p w14:paraId="421CFC48" w14:textId="77777777" w:rsidR="00D83622" w:rsidRPr="00003572" w:rsidRDefault="00D83622" w:rsidP="00D83622">
                  <w:pPr>
                    <w:spacing w:line="240" w:lineRule="auto"/>
                    <w:rPr>
                      <w:rFonts w:cstheme="minorHAnsi"/>
                    </w:rPr>
                  </w:pPr>
                  <w:r w:rsidRPr="00003572">
                    <w:rPr>
                      <w:rFonts w:cstheme="minorHAnsi"/>
                    </w:rPr>
                    <w:t>Partnerships Formed</w:t>
                  </w:r>
                </w:p>
              </w:tc>
              <w:tc>
                <w:tcPr>
                  <w:tcW w:w="0" w:type="auto"/>
                  <w:vAlign w:val="center"/>
                  <w:hideMark/>
                </w:tcPr>
                <w:p w14:paraId="6D072ECB" w14:textId="77777777" w:rsidR="00D83622" w:rsidRPr="00003572" w:rsidRDefault="00D83622" w:rsidP="00D83622">
                  <w:pPr>
                    <w:spacing w:line="240" w:lineRule="auto"/>
                    <w:rPr>
                      <w:rFonts w:cstheme="minorHAnsi"/>
                    </w:rPr>
                  </w:pPr>
                  <w:r w:rsidRPr="00003572">
                    <w:rPr>
                      <w:rFonts w:cstheme="minorHAnsi"/>
                    </w:rPr>
                    <w:t>New collaborations between previously unconnected LTOs</w:t>
                  </w:r>
                </w:p>
              </w:tc>
            </w:tr>
            <w:tr w:rsidR="00D83622" w:rsidRPr="00003572" w14:paraId="616174C2" w14:textId="77777777" w:rsidTr="008C200E">
              <w:trPr>
                <w:tblCellSpacing w:w="15" w:type="dxa"/>
              </w:trPr>
              <w:tc>
                <w:tcPr>
                  <w:tcW w:w="0" w:type="auto"/>
                  <w:vAlign w:val="center"/>
                  <w:hideMark/>
                </w:tcPr>
                <w:p w14:paraId="24C2E0FD" w14:textId="77777777" w:rsidR="00D83622" w:rsidRPr="00003572" w:rsidRDefault="00D83622" w:rsidP="00D83622">
                  <w:pPr>
                    <w:spacing w:line="240" w:lineRule="auto"/>
                    <w:rPr>
                      <w:rFonts w:cstheme="minorHAnsi"/>
                    </w:rPr>
                  </w:pPr>
                  <w:r w:rsidRPr="00003572">
                    <w:rPr>
                      <w:rFonts w:cstheme="minorHAnsi"/>
                    </w:rPr>
                    <w:t>Capacity Building</w:t>
                  </w:r>
                </w:p>
              </w:tc>
              <w:tc>
                <w:tcPr>
                  <w:tcW w:w="0" w:type="auto"/>
                  <w:vAlign w:val="center"/>
                  <w:hideMark/>
                </w:tcPr>
                <w:p w14:paraId="633E2013" w14:textId="77777777" w:rsidR="00D83622" w:rsidRPr="00003572" w:rsidRDefault="00D83622" w:rsidP="00D83622">
                  <w:pPr>
                    <w:spacing w:line="240" w:lineRule="auto"/>
                    <w:rPr>
                      <w:rFonts w:cstheme="minorHAnsi"/>
                    </w:rPr>
                  </w:pPr>
                  <w:r w:rsidRPr="00003572">
                    <w:rPr>
                      <w:rFonts w:cstheme="minorHAnsi"/>
                    </w:rPr>
                    <w:t>Participants reported increased confidence; CoP resources accessed regularly</w:t>
                  </w:r>
                </w:p>
              </w:tc>
            </w:tr>
            <w:tr w:rsidR="00D83622" w:rsidRPr="00003572" w14:paraId="39A88571" w14:textId="77777777" w:rsidTr="008C200E">
              <w:trPr>
                <w:tblCellSpacing w:w="15" w:type="dxa"/>
              </w:trPr>
              <w:tc>
                <w:tcPr>
                  <w:tcW w:w="0" w:type="auto"/>
                  <w:vAlign w:val="center"/>
                  <w:hideMark/>
                </w:tcPr>
                <w:p w14:paraId="72C919FB" w14:textId="77777777" w:rsidR="00D83622" w:rsidRPr="00003572" w:rsidRDefault="00D83622" w:rsidP="00D83622">
                  <w:pPr>
                    <w:spacing w:line="240" w:lineRule="auto"/>
                    <w:rPr>
                      <w:rFonts w:cstheme="minorHAnsi"/>
                    </w:rPr>
                  </w:pPr>
                  <w:r w:rsidRPr="00003572">
                    <w:rPr>
                      <w:rFonts w:cstheme="minorHAnsi"/>
                    </w:rPr>
                    <w:lastRenderedPageBreak/>
                    <w:t>Knowledge Sharing</w:t>
                  </w:r>
                </w:p>
              </w:tc>
              <w:tc>
                <w:tcPr>
                  <w:tcW w:w="0" w:type="auto"/>
                  <w:vAlign w:val="center"/>
                  <w:hideMark/>
                </w:tcPr>
                <w:p w14:paraId="27F6946B" w14:textId="77777777" w:rsidR="00D83622" w:rsidRPr="00003572" w:rsidRDefault="00D83622" w:rsidP="00D83622">
                  <w:pPr>
                    <w:spacing w:line="240" w:lineRule="auto"/>
                    <w:rPr>
                      <w:rFonts w:cstheme="minorHAnsi"/>
                    </w:rPr>
                  </w:pPr>
                  <w:r w:rsidRPr="00003572">
                    <w:rPr>
                      <w:rFonts w:cstheme="minorHAnsi"/>
                    </w:rPr>
                    <w:t>Monthly newsletters &amp; case studies; ECC services signposted</w:t>
                  </w:r>
                </w:p>
              </w:tc>
            </w:tr>
          </w:tbl>
          <w:p w14:paraId="5FB98675" w14:textId="3A6B751E" w:rsidR="00D83622" w:rsidRDefault="00D83622" w:rsidP="00D83622">
            <w:pPr>
              <w:spacing w:line="240" w:lineRule="auto"/>
              <w:rPr>
                <w:rFonts w:cstheme="minorHAnsi"/>
              </w:rPr>
            </w:pPr>
            <w:r w:rsidRPr="00003572">
              <w:rPr>
                <w:rFonts w:cstheme="minorHAnsi"/>
              </w:rPr>
              <w:t>Overall Impact:</w:t>
            </w:r>
            <w:r w:rsidRPr="00003572">
              <w:rPr>
                <w:rFonts w:cstheme="minorHAnsi"/>
              </w:rPr>
              <w:br/>
              <w:t>The programme has strengthened connections, supported collaboration, and enabled community-led initiatives that improve health, wellbeing, and social cohesion across Essex.</w:t>
            </w:r>
          </w:p>
          <w:p w14:paraId="354ED7AC" w14:textId="77777777" w:rsidR="00D60D0D" w:rsidRDefault="00D60D0D" w:rsidP="00D60D0D">
            <w:pPr>
              <w:rPr>
                <w:szCs w:val="24"/>
              </w:rPr>
            </w:pPr>
          </w:p>
          <w:p w14:paraId="2A3A6E48" w14:textId="7E3AEACE" w:rsidR="00D60D0D" w:rsidRPr="00D83622" w:rsidRDefault="00D60D0D" w:rsidP="00D60D0D">
            <w:pPr>
              <w:rPr>
                <w:szCs w:val="24"/>
              </w:rPr>
            </w:pPr>
            <w:r w:rsidRPr="00D83622">
              <w:rPr>
                <w:szCs w:val="24"/>
              </w:rPr>
              <w:t>We are excited to announce our planned Sharing Day events for the first quarter of the new financial year, taking place in Harlow, Epping Forest, Castlepoint, and Rayleigh. These events will celebrate the achievements of local LTOs and volunteers, providing a platform for them to showcase their successes and inspire others in the community.</w:t>
            </w:r>
          </w:p>
          <w:p w14:paraId="1EA58564" w14:textId="77777777" w:rsidR="00D60D0D" w:rsidRPr="00D83622" w:rsidRDefault="00D60D0D" w:rsidP="00D60D0D">
            <w:pPr>
              <w:rPr>
                <w:szCs w:val="24"/>
              </w:rPr>
            </w:pPr>
          </w:p>
          <w:p w14:paraId="4EFB20DF" w14:textId="77777777" w:rsidR="00D60D0D" w:rsidRPr="00D83622" w:rsidRDefault="00D60D0D" w:rsidP="00D60D0D">
            <w:pPr>
              <w:rPr>
                <w:szCs w:val="24"/>
              </w:rPr>
            </w:pPr>
            <w:r w:rsidRPr="00D83622">
              <w:rPr>
                <w:szCs w:val="24"/>
              </w:rPr>
              <w:t>From our experience, Sharing Days are more than just celebrations—they spark ideas, learning, and motivation, giving community members the confidence and insight to take forward their own project plans. Each event is designed to create opportunities for collaboration, innovation, and connection, bringing together people with shared passions and complementary skills.</w:t>
            </w:r>
          </w:p>
          <w:p w14:paraId="1328F929" w14:textId="77777777" w:rsidR="00D60D0D" w:rsidRPr="00D83622" w:rsidRDefault="00D60D0D" w:rsidP="00D60D0D">
            <w:pPr>
              <w:rPr>
                <w:szCs w:val="24"/>
              </w:rPr>
            </w:pPr>
            <w:r w:rsidRPr="00D83622">
              <w:rPr>
                <w:szCs w:val="24"/>
              </w:rPr>
              <w:t>Beyond the events themselves, we continue to engage with attendees, gathering case studies, identifying opportunities for support, and ensuring that barriers to success are addressed. By nurturing these relationships, we build a strong network of local knowledge and connections, enabling us to know who is where, who can help whom, and where like-minded ideas can come together to grow into thriving community initiatives.</w:t>
            </w:r>
          </w:p>
          <w:p w14:paraId="25EB4DD2" w14:textId="77777777" w:rsidR="00D60D0D" w:rsidRPr="00D83622" w:rsidRDefault="00D60D0D" w:rsidP="00D60D0D">
            <w:pPr>
              <w:rPr>
                <w:szCs w:val="24"/>
              </w:rPr>
            </w:pPr>
          </w:p>
          <w:p w14:paraId="2CE3622F" w14:textId="4F154668" w:rsidR="00D60D0D" w:rsidRPr="00003572" w:rsidRDefault="00D60D0D" w:rsidP="00D60D0D">
            <w:pPr>
              <w:spacing w:line="240" w:lineRule="auto"/>
              <w:rPr>
                <w:rFonts w:cstheme="minorHAnsi"/>
              </w:rPr>
            </w:pPr>
            <w:r w:rsidRPr="00D83622">
              <w:rPr>
                <w:szCs w:val="24"/>
              </w:rPr>
              <w:t>Through these new events, we anticipate growing our Community of Practice (CoP) by at least 10%, while also increasing the number of online toolkit case studies and webinars. As the CoP expands, more resources and real-world examples will become available for members to share, learn from, and apply within their own communities, creating a ripple effect of knowledge, collaboration, and innovation.</w:t>
            </w:r>
          </w:p>
          <w:p w14:paraId="562A7EC1" w14:textId="77777777" w:rsidR="006A2F85" w:rsidRPr="00D445FB" w:rsidRDefault="006A2F85" w:rsidP="00C0445C"/>
        </w:tc>
      </w:tr>
    </w:tbl>
    <w:p w14:paraId="2E29113F" w14:textId="2DEF2E17" w:rsidR="00102349" w:rsidRPr="00D445FB" w:rsidRDefault="00102349" w:rsidP="00471E76">
      <w:pPr>
        <w:pStyle w:val="Caption"/>
      </w:pPr>
    </w:p>
    <w:sectPr w:rsidR="00102349" w:rsidRPr="00D445FB" w:rsidSect="00B67160">
      <w:footerReference w:type="default" r:id="rId13"/>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868C" w14:textId="77777777" w:rsidR="00021A40" w:rsidRDefault="00021A40" w:rsidP="00EB300A">
      <w:pPr>
        <w:spacing w:line="240" w:lineRule="auto"/>
      </w:pPr>
      <w:r>
        <w:separator/>
      </w:r>
    </w:p>
  </w:endnote>
  <w:endnote w:type="continuationSeparator" w:id="0">
    <w:p w14:paraId="27FB3A0C" w14:textId="77777777" w:rsidR="00021A40" w:rsidRDefault="00021A40"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56505"/>
      <w:docPartObj>
        <w:docPartGallery w:val="Page Numbers (Bottom of Page)"/>
        <w:docPartUnique/>
      </w:docPartObj>
    </w:sdtPr>
    <w:sdtEndPr/>
    <w:sdtContent>
      <w:p w14:paraId="266DE4E4" w14:textId="449EC8D1"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2F7D737A" wp14:editId="7AC3D633">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w14:anchorId="36C125C5">
                <v:line id="Straight Connector 4"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76766b" strokeweight=".5pt" from="50.2pt,778.2pt" to="544.3pt,778.2pt" w14:anchorId="24D8B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v:stroke joinstyle="miter"/>
                  <w10:wrap anchorx="page" anchory="page"/>
                </v:line>
              </w:pict>
            </mc:Fallback>
          </mc:AlternateContent>
        </w:r>
        <w:r w:rsidR="006A2F85">
          <w:t>Social Value Case Study Clause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61C0" w14:textId="77777777" w:rsidR="00021A40" w:rsidRDefault="00021A40" w:rsidP="00EB300A">
      <w:pPr>
        <w:spacing w:line="240" w:lineRule="auto"/>
      </w:pPr>
      <w:r>
        <w:separator/>
      </w:r>
    </w:p>
  </w:footnote>
  <w:footnote w:type="continuationSeparator" w:id="0">
    <w:p w14:paraId="62299A97" w14:textId="77777777" w:rsidR="00021A40" w:rsidRDefault="00021A40"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018A2986"/>
    <w:multiLevelType w:val="multilevel"/>
    <w:tmpl w:val="486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6499A"/>
    <w:multiLevelType w:val="multilevel"/>
    <w:tmpl w:val="B46E5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D3462"/>
    <w:multiLevelType w:val="multilevel"/>
    <w:tmpl w:val="84AE9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B470B"/>
    <w:multiLevelType w:val="multilevel"/>
    <w:tmpl w:val="8F4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B024F"/>
    <w:multiLevelType w:val="multilevel"/>
    <w:tmpl w:val="732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B27DF"/>
    <w:multiLevelType w:val="multilevel"/>
    <w:tmpl w:val="B5E8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B4E3E"/>
    <w:multiLevelType w:val="multilevel"/>
    <w:tmpl w:val="CCC4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6A014E"/>
    <w:multiLevelType w:val="multilevel"/>
    <w:tmpl w:val="588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B4006"/>
    <w:multiLevelType w:val="multilevel"/>
    <w:tmpl w:val="D9728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B7022F"/>
    <w:multiLevelType w:val="hybridMultilevel"/>
    <w:tmpl w:val="006A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9303D"/>
    <w:multiLevelType w:val="hybridMultilevel"/>
    <w:tmpl w:val="B296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E36B0"/>
    <w:multiLevelType w:val="hybridMultilevel"/>
    <w:tmpl w:val="1128800A"/>
    <w:lvl w:ilvl="0" w:tplc="66705EC0">
      <w:start w:val="1"/>
      <w:numFmt w:val="bullet"/>
      <w:lvlText w:val=""/>
      <w:lvlJc w:val="left"/>
      <w:pPr>
        <w:ind w:left="720" w:hanging="360"/>
      </w:pPr>
      <w:rPr>
        <w:rFonts w:ascii="Wingdings" w:hAnsi="Wingdings" w:hint="default"/>
      </w:rPr>
    </w:lvl>
    <w:lvl w:ilvl="1" w:tplc="7B2A81D0">
      <w:start w:val="1"/>
      <w:numFmt w:val="bullet"/>
      <w:lvlText w:val="o"/>
      <w:lvlJc w:val="left"/>
      <w:pPr>
        <w:ind w:left="1440" w:hanging="360"/>
      </w:pPr>
      <w:rPr>
        <w:rFonts w:ascii="Courier New" w:hAnsi="Courier New" w:hint="default"/>
      </w:rPr>
    </w:lvl>
    <w:lvl w:ilvl="2" w:tplc="9AE0014E">
      <w:start w:val="1"/>
      <w:numFmt w:val="bullet"/>
      <w:lvlText w:val=""/>
      <w:lvlJc w:val="left"/>
      <w:pPr>
        <w:ind w:left="2160" w:hanging="360"/>
      </w:pPr>
      <w:rPr>
        <w:rFonts w:ascii="Wingdings" w:hAnsi="Wingdings" w:hint="default"/>
      </w:rPr>
    </w:lvl>
    <w:lvl w:ilvl="3" w:tplc="82AC713A">
      <w:start w:val="1"/>
      <w:numFmt w:val="bullet"/>
      <w:lvlText w:val=""/>
      <w:lvlJc w:val="left"/>
      <w:pPr>
        <w:ind w:left="2880" w:hanging="360"/>
      </w:pPr>
      <w:rPr>
        <w:rFonts w:ascii="Symbol" w:hAnsi="Symbol" w:hint="default"/>
      </w:rPr>
    </w:lvl>
    <w:lvl w:ilvl="4" w:tplc="2140ECB2">
      <w:start w:val="1"/>
      <w:numFmt w:val="bullet"/>
      <w:lvlText w:val="o"/>
      <w:lvlJc w:val="left"/>
      <w:pPr>
        <w:ind w:left="3600" w:hanging="360"/>
      </w:pPr>
      <w:rPr>
        <w:rFonts w:ascii="Courier New" w:hAnsi="Courier New" w:hint="default"/>
      </w:rPr>
    </w:lvl>
    <w:lvl w:ilvl="5" w:tplc="E9588E3A">
      <w:start w:val="1"/>
      <w:numFmt w:val="bullet"/>
      <w:lvlText w:val=""/>
      <w:lvlJc w:val="left"/>
      <w:pPr>
        <w:ind w:left="4320" w:hanging="360"/>
      </w:pPr>
      <w:rPr>
        <w:rFonts w:ascii="Wingdings" w:hAnsi="Wingdings" w:hint="default"/>
      </w:rPr>
    </w:lvl>
    <w:lvl w:ilvl="6" w:tplc="D8282414">
      <w:start w:val="1"/>
      <w:numFmt w:val="bullet"/>
      <w:lvlText w:val=""/>
      <w:lvlJc w:val="left"/>
      <w:pPr>
        <w:ind w:left="5040" w:hanging="360"/>
      </w:pPr>
      <w:rPr>
        <w:rFonts w:ascii="Symbol" w:hAnsi="Symbol" w:hint="default"/>
      </w:rPr>
    </w:lvl>
    <w:lvl w:ilvl="7" w:tplc="6E8699C8">
      <w:start w:val="1"/>
      <w:numFmt w:val="bullet"/>
      <w:lvlText w:val="o"/>
      <w:lvlJc w:val="left"/>
      <w:pPr>
        <w:ind w:left="5760" w:hanging="360"/>
      </w:pPr>
      <w:rPr>
        <w:rFonts w:ascii="Courier New" w:hAnsi="Courier New" w:hint="default"/>
      </w:rPr>
    </w:lvl>
    <w:lvl w:ilvl="8" w:tplc="FF5C0ABC">
      <w:start w:val="1"/>
      <w:numFmt w:val="bullet"/>
      <w:lvlText w:val=""/>
      <w:lvlJc w:val="left"/>
      <w:pPr>
        <w:ind w:left="6480" w:hanging="360"/>
      </w:pPr>
      <w:rPr>
        <w:rFonts w:ascii="Wingdings" w:hAnsi="Wingdings" w:hint="default"/>
      </w:rPr>
    </w:lvl>
  </w:abstractNum>
  <w:abstractNum w:abstractNumId="22" w15:restartNumberingAfterBreak="0">
    <w:nsid w:val="6D5D49C2"/>
    <w:multiLevelType w:val="multilevel"/>
    <w:tmpl w:val="B01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67923"/>
    <w:multiLevelType w:val="multilevel"/>
    <w:tmpl w:val="243C7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03BDF"/>
    <w:multiLevelType w:val="hybridMultilevel"/>
    <w:tmpl w:val="B632535E"/>
    <w:lvl w:ilvl="0" w:tplc="05642C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975407">
    <w:abstractNumId w:val="9"/>
  </w:num>
  <w:num w:numId="2" w16cid:durableId="1081870385">
    <w:abstractNumId w:val="7"/>
  </w:num>
  <w:num w:numId="3" w16cid:durableId="583682846">
    <w:abstractNumId w:val="6"/>
  </w:num>
  <w:num w:numId="4" w16cid:durableId="1269310740">
    <w:abstractNumId w:val="5"/>
  </w:num>
  <w:num w:numId="5" w16cid:durableId="1468930844">
    <w:abstractNumId w:val="4"/>
  </w:num>
  <w:num w:numId="6" w16cid:durableId="2017534280">
    <w:abstractNumId w:val="8"/>
  </w:num>
  <w:num w:numId="7" w16cid:durableId="1734738548">
    <w:abstractNumId w:val="3"/>
  </w:num>
  <w:num w:numId="8" w16cid:durableId="636688744">
    <w:abstractNumId w:val="2"/>
  </w:num>
  <w:num w:numId="9" w16cid:durableId="1703096437">
    <w:abstractNumId w:val="1"/>
  </w:num>
  <w:num w:numId="10" w16cid:durableId="1334722959">
    <w:abstractNumId w:val="0"/>
  </w:num>
  <w:num w:numId="11" w16cid:durableId="1105423454">
    <w:abstractNumId w:val="11"/>
  </w:num>
  <w:num w:numId="12" w16cid:durableId="456220743">
    <w:abstractNumId w:val="21"/>
  </w:num>
  <w:num w:numId="13" w16cid:durableId="637763502">
    <w:abstractNumId w:val="24"/>
  </w:num>
  <w:num w:numId="14" w16cid:durableId="1023629336">
    <w:abstractNumId w:val="20"/>
  </w:num>
  <w:num w:numId="15" w16cid:durableId="546450680">
    <w:abstractNumId w:val="19"/>
  </w:num>
  <w:num w:numId="16" w16cid:durableId="1944877805">
    <w:abstractNumId w:val="23"/>
  </w:num>
  <w:num w:numId="17" w16cid:durableId="1790119991">
    <w:abstractNumId w:val="12"/>
  </w:num>
  <w:num w:numId="18" w16cid:durableId="330374878">
    <w:abstractNumId w:val="18"/>
  </w:num>
  <w:num w:numId="19" w16cid:durableId="1244798752">
    <w:abstractNumId w:val="17"/>
  </w:num>
  <w:num w:numId="20" w16cid:durableId="1186560975">
    <w:abstractNumId w:val="22"/>
  </w:num>
  <w:num w:numId="21" w16cid:durableId="959188333">
    <w:abstractNumId w:val="13"/>
  </w:num>
  <w:num w:numId="22" w16cid:durableId="111704760">
    <w:abstractNumId w:val="16"/>
  </w:num>
  <w:num w:numId="23" w16cid:durableId="953633690">
    <w:abstractNumId w:val="15"/>
  </w:num>
  <w:num w:numId="24" w16cid:durableId="1406563689">
    <w:abstractNumId w:val="14"/>
  </w:num>
  <w:num w:numId="25" w16cid:durableId="1876309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85"/>
    <w:rsid w:val="00021A40"/>
    <w:rsid w:val="000D7879"/>
    <w:rsid w:val="00102349"/>
    <w:rsid w:val="002104A1"/>
    <w:rsid w:val="00240218"/>
    <w:rsid w:val="00250AD9"/>
    <w:rsid w:val="00256B41"/>
    <w:rsid w:val="00261B8A"/>
    <w:rsid w:val="002702B7"/>
    <w:rsid w:val="00350D8E"/>
    <w:rsid w:val="00361380"/>
    <w:rsid w:val="00394756"/>
    <w:rsid w:val="00471E76"/>
    <w:rsid w:val="005023A4"/>
    <w:rsid w:val="00543778"/>
    <w:rsid w:val="005D7E1F"/>
    <w:rsid w:val="005D7E6C"/>
    <w:rsid w:val="005F4E3C"/>
    <w:rsid w:val="00621BBA"/>
    <w:rsid w:val="006A2F85"/>
    <w:rsid w:val="0077102C"/>
    <w:rsid w:val="0085274B"/>
    <w:rsid w:val="0085733F"/>
    <w:rsid w:val="00886633"/>
    <w:rsid w:val="00924AFE"/>
    <w:rsid w:val="009B13D2"/>
    <w:rsid w:val="00A04AEE"/>
    <w:rsid w:val="00A63D70"/>
    <w:rsid w:val="00A77719"/>
    <w:rsid w:val="00AB1032"/>
    <w:rsid w:val="00B67160"/>
    <w:rsid w:val="00B87AF8"/>
    <w:rsid w:val="00BC2AB1"/>
    <w:rsid w:val="00BE426F"/>
    <w:rsid w:val="00BF29BC"/>
    <w:rsid w:val="00C0445C"/>
    <w:rsid w:val="00C24011"/>
    <w:rsid w:val="00C42E10"/>
    <w:rsid w:val="00C45707"/>
    <w:rsid w:val="00C9493B"/>
    <w:rsid w:val="00CB02E7"/>
    <w:rsid w:val="00CC5989"/>
    <w:rsid w:val="00CF505C"/>
    <w:rsid w:val="00D445FB"/>
    <w:rsid w:val="00D60D0D"/>
    <w:rsid w:val="00D66490"/>
    <w:rsid w:val="00D83622"/>
    <w:rsid w:val="00D86022"/>
    <w:rsid w:val="00D958DE"/>
    <w:rsid w:val="00E73341"/>
    <w:rsid w:val="00EB300A"/>
    <w:rsid w:val="00FD172E"/>
    <w:rsid w:val="0B812CC3"/>
    <w:rsid w:val="12E42A60"/>
    <w:rsid w:val="13401B19"/>
    <w:rsid w:val="2569B4F3"/>
    <w:rsid w:val="29A1FF00"/>
    <w:rsid w:val="309950A9"/>
    <w:rsid w:val="3EAA3A2E"/>
    <w:rsid w:val="4424BDD3"/>
    <w:rsid w:val="4C325C53"/>
    <w:rsid w:val="4D783D19"/>
    <w:rsid w:val="4D9CC8ED"/>
    <w:rsid w:val="521F023F"/>
    <w:rsid w:val="62BE582A"/>
    <w:rsid w:val="7E622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3CCE"/>
  <w15:chartTrackingRefBased/>
  <w15:docId w15:val="{2824BC8F-2CFD-449F-823F-05C00460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A1"/>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3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styleId="ListParagraph">
    <w:name w:val="List Paragraph"/>
    <w:aliases w:val="Numbered Para 1,Dot pt,No Spacing1,List Paragraph Char Char Char,Indicator Text,Bullet 1,List Paragraph1,Bullet Points,MAIN CONTENT,List Paragraph12,F5 List Paragraph,Heading 2_sj,Style Bullet,Colorful List - Accent 11,Bullet Style,L"/>
    <w:basedOn w:val="Normal"/>
    <w:link w:val="ListParagraphChar"/>
    <w:uiPriority w:val="34"/>
    <w:qFormat/>
    <w:rsid w:val="006A2F85"/>
    <w:pPr>
      <w:spacing w:line="240" w:lineRule="auto"/>
      <w:ind w:left="720"/>
      <w:contextualSpacing/>
    </w:pPr>
    <w:rPr>
      <w:rFonts w:ascii="Arial" w:eastAsia="Times" w:hAnsi="Arial" w:cs="Times New Roman"/>
      <w:sz w:val="20"/>
      <w:szCs w:val="20"/>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link w:val="ListParagraph"/>
    <w:uiPriority w:val="34"/>
    <w:qFormat/>
    <w:locked/>
    <w:rsid w:val="006A2F85"/>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spurgeon2\OneDrive%20-%20Essex%20County%20Council\Desktop\Templates\Word%20Template.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D529E5BFD3C4587B83CF61B8BFD7E" ma:contentTypeVersion="11" ma:contentTypeDescription="Create a new document." ma:contentTypeScope="" ma:versionID="0cb5397fedc978b799b57d644e12e13b">
  <xsd:schema xmlns:xsd="http://www.w3.org/2001/XMLSchema" xmlns:xs="http://www.w3.org/2001/XMLSchema" xmlns:p="http://schemas.microsoft.com/office/2006/metadata/properties" xmlns:ns2="83f7c254-7076-404b-a365-327da82c5784" xmlns:ns3="e480762d-17ba-42bc-8a67-2f31dd779084" targetNamespace="http://schemas.microsoft.com/office/2006/metadata/properties" ma:root="true" ma:fieldsID="d12ecdcbf26907dd55e6a0c38fa61c44" ns2:_="" ns3:_="">
    <xsd:import namespace="83f7c254-7076-404b-a365-327da82c5784"/>
    <xsd:import namespace="e480762d-17ba-42bc-8a67-2f31dd779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c254-7076-404b-a365-327da82c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0762d-17ba-42bc-8a67-2f31dd779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8817a7-aed0-49ad-b63f-cf9b7656f23d}" ma:internalName="TaxCatchAll" ma:showField="CatchAllData" ma:web="e480762d-17ba-42bc-8a67-2f31dd779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7c254-7076-404b-a365-327da82c5784">
      <Terms xmlns="http://schemas.microsoft.com/office/infopath/2007/PartnerControls"/>
    </lcf76f155ced4ddcb4097134ff3c332f>
    <TaxCatchAll xmlns="e480762d-17ba-42bc-8a67-2f31dd7790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614EF-CDC0-4D58-8A94-084353CE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c254-7076-404b-a365-327da82c5784"/>
    <ds:schemaRef ds:uri="e480762d-17ba-42bc-8a67-2f31dd779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F56FD-A6F6-49A0-BAD7-6CF4B4786F34}">
  <ds:schemaRefs>
    <ds:schemaRef ds:uri="http://schemas.microsoft.com/office/2006/metadata/properties"/>
    <ds:schemaRef ds:uri="http://schemas.microsoft.com/office/infopath/2007/PartnerControls"/>
    <ds:schemaRef ds:uri="83f7c254-7076-404b-a365-327da82c5784"/>
    <ds:schemaRef ds:uri="e480762d-17ba-42bc-8a67-2f31dd779084"/>
  </ds:schemaRefs>
</ds:datastoreItem>
</file>

<file path=customXml/itemProps3.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4.xml><?xml version="1.0" encoding="utf-8"?>
<ds:datastoreItem xmlns:ds="http://schemas.openxmlformats.org/officeDocument/2006/customXml" ds:itemID="{C63AA01F-EE74-49E7-B4FE-AF9E0DA7F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Template>
  <TotalTime>4</TotalTime>
  <Pages>3</Pages>
  <Words>750</Words>
  <Characters>4276</Characters>
  <Application>Microsoft Office Word</Application>
  <DocSecurity>4</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Standard Word template</dc:title>
  <dc:subject/>
  <dc:creator>James Spurgeon - Procurement Manager</dc:creator>
  <cp:keywords/>
  <dc:description/>
  <cp:lastModifiedBy>Craig Johnson - Procurement Support Officer</cp:lastModifiedBy>
  <cp:revision>2</cp:revision>
  <dcterms:created xsi:type="dcterms:W3CDTF">2026-05-15T09:46:00Z</dcterms:created>
  <dcterms:modified xsi:type="dcterms:W3CDTF">2026-05-15T09:46:00Z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SiteId">
    <vt:lpwstr>a8b4324f-155c-4215-a0f1-7ed8cc9a992f</vt:lpwstr>
  </property>
  <property fmtid="{D5CDD505-2E9C-101B-9397-08002B2CF9AE}" pid="3" name="MSIP_Label_39d8be9e-c8d9-4b9c-bd40-2c27cc7ea2e6_Method">
    <vt:lpwstr>Privileged</vt:lpwstr>
  </property>
  <property fmtid="{D5CDD505-2E9C-101B-9397-08002B2CF9AE}" pid="4" name="MSIP_Label_39d8be9e-c8d9-4b9c-bd40-2c27cc7ea2e6_Name">
    <vt:lpwstr>39d8be9e-c8d9-4b9c-bd40-2c27cc7ea2e6</vt:lpwstr>
  </property>
  <property fmtid="{D5CDD505-2E9C-101B-9397-08002B2CF9AE}" pid="5" name="MSIP_Label_39d8be9e-c8d9-4b9c-bd40-2c27cc7ea2e6_ActionId">
    <vt:lpwstr>167bc3e4-b41c-4d2b-b2ce-bd0b6da8e501</vt:lpwstr>
  </property>
  <property fmtid="{D5CDD505-2E9C-101B-9397-08002B2CF9AE}" pid="6" name="MSIP_Label_39d8be9e-c8d9-4b9c-bd40-2c27cc7ea2e6_ContentBits">
    <vt:lpwstr>0</vt:lpwstr>
  </property>
  <property fmtid="{D5CDD505-2E9C-101B-9397-08002B2CF9AE}" pid="7" name="ContentTypeId">
    <vt:lpwstr>0x01010002BD529E5BFD3C4587B83CF61B8BFD7E</vt:lpwstr>
  </property>
  <property fmtid="{D5CDD505-2E9C-101B-9397-08002B2CF9AE}" pid="8" name="Content Subject">
    <vt:lpwstr/>
  </property>
  <property fmtid="{D5CDD505-2E9C-101B-9397-08002B2CF9AE}" pid="9" name="MSIP_Label_39d8be9e-c8d9-4b9c-bd40-2c27cc7ea2e6_Enabled">
    <vt:lpwstr>true</vt:lpwstr>
  </property>
  <property fmtid="{D5CDD505-2E9C-101B-9397-08002B2CF9AE}" pid="10" name="MSIP_Label_39d8be9e-c8d9-4b9c-bd40-2c27cc7ea2e6_SetDate">
    <vt:lpwstr>2022-11-21T16:13:50Z</vt:lpwstr>
  </property>
</Properties>
</file>