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561FA6">
        <w:trPr>
          <w:trHeight w:val="254"/>
        </w:trPr>
        <w:tc>
          <w:tcPr>
            <w:tcW w:w="8590" w:type="dxa"/>
            <w:gridSpan w:val="3"/>
          </w:tcPr>
          <w:p w14:paraId="20DD9027" w14:textId="6FEEFEB8" w:rsidR="009B0834" w:rsidRPr="008B72F2" w:rsidRDefault="008B72F2" w:rsidP="008B72F2">
            <w:pPr>
              <w:jc w:val="center"/>
              <w:rPr>
                <w:rFonts w:ascii="Arial" w:hAnsi="Arial" w:cs="Arial"/>
                <w:b/>
                <w:bCs/>
                <w:sz w:val="24"/>
                <w:szCs w:val="24"/>
              </w:rPr>
            </w:pPr>
            <w:r w:rsidRPr="008B72F2">
              <w:rPr>
                <w:rFonts w:ascii="Arial" w:hAnsi="Arial" w:cs="Arial"/>
                <w:b/>
                <w:bCs/>
                <w:sz w:val="24"/>
                <w:szCs w:val="24"/>
              </w:rPr>
              <w:t>Mental Health First Aid</w:t>
            </w:r>
            <w:r w:rsidR="00FE255E">
              <w:rPr>
                <w:rFonts w:ascii="Arial" w:hAnsi="Arial" w:cs="Arial"/>
                <w:b/>
                <w:bCs/>
                <w:sz w:val="24"/>
                <w:szCs w:val="24"/>
              </w:rPr>
              <w:t xml:space="preserve"> Accredited Training</w:t>
            </w:r>
            <w:r w:rsidRPr="008B72F2">
              <w:rPr>
                <w:rFonts w:ascii="Arial" w:hAnsi="Arial" w:cs="Arial"/>
                <w:b/>
                <w:bCs/>
                <w:sz w:val="24"/>
                <w:szCs w:val="24"/>
              </w:rPr>
              <w:t xml:space="preserve"> – for AWD Providers</w:t>
            </w:r>
          </w:p>
        </w:tc>
      </w:tr>
      <w:tr w:rsidR="009B0834" w:rsidRPr="009B0834" w14:paraId="04B954E5" w14:textId="77777777" w:rsidTr="00561FA6">
        <w:trPr>
          <w:trHeight w:val="3873"/>
        </w:trPr>
        <w:tc>
          <w:tcPr>
            <w:tcW w:w="8590" w:type="dxa"/>
            <w:gridSpan w:val="3"/>
          </w:tcPr>
          <w:p w14:paraId="59175B44" w14:textId="77777777" w:rsidR="009B0834" w:rsidRDefault="009B0834" w:rsidP="009B0834">
            <w:pPr>
              <w:rPr>
                <w:rFonts w:cstheme="minorHAnsi"/>
                <w:sz w:val="24"/>
                <w:szCs w:val="24"/>
              </w:rPr>
            </w:pPr>
            <w:r w:rsidRPr="009B0834">
              <w:rPr>
                <w:rFonts w:cstheme="minorHAnsi"/>
                <w:sz w:val="24"/>
                <w:szCs w:val="24"/>
              </w:rPr>
              <w:t>Session details</w:t>
            </w:r>
          </w:p>
          <w:p w14:paraId="5FE4A834" w14:textId="77777777" w:rsidR="00C907FA" w:rsidRDefault="00C907FA" w:rsidP="00C907FA">
            <w:pPr>
              <w:pStyle w:val="ListParagraph"/>
              <w:numPr>
                <w:ilvl w:val="0"/>
                <w:numId w:val="2"/>
              </w:numPr>
              <w:rPr>
                <w:rFonts w:eastAsia="Times New Roman"/>
              </w:rPr>
            </w:pPr>
            <w:r>
              <w:rPr>
                <w:rFonts w:eastAsia="Times New Roman"/>
              </w:rPr>
              <w:t xml:space="preserve">A deeper understanding of mental health and the factors that can affect people’s </w:t>
            </w:r>
            <w:proofErr w:type="gramStart"/>
            <w:r>
              <w:rPr>
                <w:rFonts w:eastAsia="Times New Roman"/>
              </w:rPr>
              <w:t>wellbeing</w:t>
            </w:r>
            <w:proofErr w:type="gramEnd"/>
          </w:p>
          <w:p w14:paraId="6215BABD" w14:textId="77777777" w:rsidR="00C907FA" w:rsidRDefault="00C907FA" w:rsidP="00C907FA">
            <w:pPr>
              <w:pStyle w:val="ListParagraph"/>
              <w:numPr>
                <w:ilvl w:val="0"/>
                <w:numId w:val="2"/>
              </w:numPr>
              <w:rPr>
                <w:rFonts w:eastAsia="Times New Roman"/>
              </w:rPr>
            </w:pPr>
            <w:r>
              <w:rPr>
                <w:rFonts w:eastAsia="Times New Roman"/>
              </w:rPr>
              <w:t xml:space="preserve">Practical skills to spot the triggers and signs of mental health </w:t>
            </w:r>
            <w:proofErr w:type="gramStart"/>
            <w:r>
              <w:rPr>
                <w:rFonts w:eastAsia="Times New Roman"/>
              </w:rPr>
              <w:t>issues</w:t>
            </w:r>
            <w:proofErr w:type="gramEnd"/>
          </w:p>
          <w:p w14:paraId="76A9DB6B" w14:textId="77777777" w:rsidR="00C907FA" w:rsidRDefault="00C907FA" w:rsidP="00C907FA">
            <w:pPr>
              <w:pStyle w:val="ListParagraph"/>
              <w:numPr>
                <w:ilvl w:val="0"/>
                <w:numId w:val="2"/>
              </w:numPr>
              <w:rPr>
                <w:rFonts w:eastAsia="Times New Roman"/>
              </w:rPr>
            </w:pPr>
            <w:r>
              <w:rPr>
                <w:rFonts w:eastAsia="Times New Roman"/>
              </w:rPr>
              <w:t xml:space="preserve">The confidence to step in and support someone in the workplace by guiding them to appropriate </w:t>
            </w:r>
            <w:proofErr w:type="gramStart"/>
            <w:r>
              <w:rPr>
                <w:rFonts w:eastAsia="Times New Roman"/>
              </w:rPr>
              <w:t>support</w:t>
            </w:r>
            <w:proofErr w:type="gramEnd"/>
          </w:p>
          <w:p w14:paraId="6D539440" w14:textId="77777777" w:rsidR="00C907FA" w:rsidRDefault="00C907FA" w:rsidP="00C907FA">
            <w:pPr>
              <w:pStyle w:val="ListParagraph"/>
              <w:numPr>
                <w:ilvl w:val="0"/>
                <w:numId w:val="2"/>
              </w:numPr>
              <w:rPr>
                <w:rFonts w:eastAsia="Times New Roman"/>
              </w:rPr>
            </w:pPr>
            <w:r>
              <w:rPr>
                <w:rFonts w:eastAsia="Times New Roman"/>
              </w:rPr>
              <w:t xml:space="preserve">Three years access to the </w:t>
            </w:r>
            <w:proofErr w:type="spellStart"/>
            <w:r>
              <w:rPr>
                <w:rFonts w:eastAsia="Times New Roman"/>
              </w:rPr>
              <w:t>MHFAider</w:t>
            </w:r>
            <w:proofErr w:type="spellEnd"/>
            <w:r>
              <w:rPr>
                <w:rFonts w:eastAsia="Times New Roman"/>
              </w:rPr>
              <w:t xml:space="preserve"> Support App® with 24/7 digital support</w:t>
            </w:r>
          </w:p>
          <w:p w14:paraId="62529F8B" w14:textId="77777777" w:rsidR="00C907FA" w:rsidRDefault="00C907FA" w:rsidP="00C44C0F">
            <w:pPr>
              <w:pStyle w:val="ListParagraph"/>
              <w:numPr>
                <w:ilvl w:val="0"/>
                <w:numId w:val="2"/>
              </w:numPr>
              <w:rPr>
                <w:rFonts w:eastAsia="Times New Roman"/>
              </w:rPr>
            </w:pPr>
            <w:r>
              <w:rPr>
                <w:rFonts w:eastAsia="Times New Roman"/>
              </w:rPr>
              <w:t xml:space="preserve">Access to exclusive resources, ongoing learning opportunities, and the benefit of joining England’s largest community of trained </w:t>
            </w:r>
            <w:proofErr w:type="spellStart"/>
            <w:r>
              <w:rPr>
                <w:rFonts w:eastAsia="Times New Roman"/>
              </w:rPr>
              <w:t>MHFAiders</w:t>
            </w:r>
            <w:proofErr w:type="spellEnd"/>
            <w:r>
              <w:rPr>
                <w:rFonts w:eastAsia="Times New Roman"/>
              </w:rPr>
              <w:t>®</w:t>
            </w:r>
          </w:p>
          <w:p w14:paraId="25FAF93C" w14:textId="77777777" w:rsidR="00AF0A13" w:rsidRDefault="00AF0A13" w:rsidP="00AF0A13">
            <w:pPr>
              <w:pStyle w:val="ListParagraph"/>
              <w:rPr>
                <w:rFonts w:eastAsia="Times New Roman"/>
              </w:rPr>
            </w:pPr>
          </w:p>
          <w:p w14:paraId="035F93E4" w14:textId="004348F5" w:rsidR="00C44C0F" w:rsidRPr="00C44C0F" w:rsidRDefault="00AF0A13" w:rsidP="00C44C0F">
            <w:pPr>
              <w:ind w:left="360"/>
              <w:rPr>
                <w:rFonts w:eastAsia="Times New Roman"/>
              </w:rPr>
            </w:pPr>
            <w:r w:rsidRPr="00AF0A13">
              <w:rPr>
                <w:rFonts w:eastAsia="Times New Roman"/>
                <w:b/>
                <w:bCs/>
              </w:rPr>
              <w:t>One</w:t>
            </w:r>
            <w:r>
              <w:rPr>
                <w:rFonts w:eastAsia="Times New Roman"/>
              </w:rPr>
              <w:t xml:space="preserve"> space per registered provider</w:t>
            </w:r>
            <w:r w:rsidR="00F90F95">
              <w:rPr>
                <w:rFonts w:eastAsia="Times New Roman"/>
              </w:rPr>
              <w:t xml:space="preserve">. </w:t>
            </w:r>
            <w:r w:rsidR="005E6A05">
              <w:rPr>
                <w:rFonts w:ascii="Segoe UI" w:eastAsia="Times New Roman" w:hAnsi="Segoe UI" w:cs="Segoe UI"/>
                <w:color w:val="242424"/>
                <w:kern w:val="0"/>
                <w:sz w:val="21"/>
                <w:szCs w:val="21"/>
                <w:lang w:eastAsia="en-GB"/>
                <w14:ligatures w14:val="none"/>
              </w:rPr>
              <w:t xml:space="preserve"> </w:t>
            </w:r>
            <w:r w:rsidR="005E6A05">
              <w:rPr>
                <w:rFonts w:ascii="Segoe UI" w:eastAsia="Times New Roman" w:hAnsi="Segoe UI" w:cs="Segoe UI"/>
                <w:color w:val="242424"/>
                <w:kern w:val="0"/>
                <w:sz w:val="21"/>
                <w:szCs w:val="21"/>
                <w:lang w:eastAsia="en-GB"/>
                <w14:ligatures w14:val="none"/>
              </w:rPr>
              <w:t xml:space="preserve">This session will start promptly at </w:t>
            </w:r>
            <w:r w:rsidR="005E6A05">
              <w:rPr>
                <w:rFonts w:ascii="Segoe UI" w:eastAsia="Times New Roman" w:hAnsi="Segoe UI" w:cs="Segoe UI"/>
                <w:color w:val="242424"/>
                <w:kern w:val="0"/>
                <w:sz w:val="21"/>
                <w:szCs w:val="21"/>
                <w:lang w:eastAsia="en-GB"/>
                <w14:ligatures w14:val="none"/>
              </w:rPr>
              <w:t>09</w:t>
            </w:r>
            <w:r w:rsidR="00962D7F">
              <w:rPr>
                <w:rFonts w:ascii="Segoe UI" w:eastAsia="Times New Roman" w:hAnsi="Segoe UI" w:cs="Segoe UI"/>
                <w:color w:val="242424"/>
                <w:kern w:val="0"/>
                <w:sz w:val="21"/>
                <w:szCs w:val="21"/>
                <w:lang w:eastAsia="en-GB"/>
                <w14:ligatures w14:val="none"/>
              </w:rPr>
              <w:t>:30</w:t>
            </w:r>
            <w:r w:rsidR="005E6A05">
              <w:rPr>
                <w:rFonts w:ascii="Segoe UI" w:eastAsia="Times New Roman" w:hAnsi="Segoe UI" w:cs="Segoe UI"/>
                <w:color w:val="242424"/>
                <w:kern w:val="0"/>
                <w:sz w:val="21"/>
                <w:szCs w:val="21"/>
                <w:lang w:eastAsia="en-GB"/>
                <w14:ligatures w14:val="none"/>
              </w:rPr>
              <w:t xml:space="preserve"> please </w:t>
            </w:r>
            <w:r w:rsidR="00962D7F">
              <w:rPr>
                <w:rFonts w:ascii="Segoe UI" w:eastAsia="Times New Roman" w:hAnsi="Segoe UI" w:cs="Segoe UI"/>
                <w:color w:val="242424"/>
                <w:kern w:val="0"/>
                <w:sz w:val="21"/>
                <w:szCs w:val="21"/>
                <w:lang w:eastAsia="en-GB"/>
                <w14:ligatures w14:val="none"/>
              </w:rPr>
              <w:t>join at 09:20</w:t>
            </w:r>
            <w:r w:rsidR="005E6A05">
              <w:rPr>
                <w:rFonts w:ascii="Segoe UI" w:eastAsia="Times New Roman" w:hAnsi="Segoe UI" w:cs="Segoe UI"/>
                <w:color w:val="242424"/>
                <w:kern w:val="0"/>
                <w:sz w:val="21"/>
                <w:szCs w:val="21"/>
                <w:lang w:eastAsia="en-GB"/>
                <w14:ligatures w14:val="none"/>
              </w:rPr>
              <w:t xml:space="preserve"> to allow time for registration. Attendees will not be permitted entry once the session has started.</w:t>
            </w:r>
          </w:p>
        </w:tc>
      </w:tr>
      <w:tr w:rsidR="009B0834" w:rsidRPr="009B0834" w14:paraId="09E74222" w14:textId="77777777" w:rsidTr="00561FA6">
        <w:trPr>
          <w:trHeight w:val="2157"/>
        </w:trPr>
        <w:tc>
          <w:tcPr>
            <w:tcW w:w="2664" w:type="dxa"/>
          </w:tcPr>
          <w:p w14:paraId="37FB5D7A" w14:textId="196C8199" w:rsidR="000A60AD" w:rsidRDefault="008B72F2" w:rsidP="000A60AD">
            <w:pPr>
              <w:jc w:val="center"/>
              <w:rPr>
                <w:rFonts w:ascii="Calibri" w:hAnsi="Calibri" w:cs="Calibri"/>
                <w:color w:val="000000"/>
              </w:rPr>
            </w:pPr>
            <w:r>
              <w:rPr>
                <w:rFonts w:ascii="Calibri" w:hAnsi="Calibri" w:cs="Calibri"/>
                <w:color w:val="000000"/>
              </w:rPr>
              <w:t>All four dates must be attended to receive certification</w:t>
            </w:r>
            <w:r w:rsidR="000A60AD">
              <w:rPr>
                <w:rFonts w:ascii="Calibri" w:hAnsi="Calibri" w:cs="Calibri"/>
                <w:color w:val="000000"/>
              </w:rPr>
              <w:t>.</w:t>
            </w:r>
          </w:p>
          <w:p w14:paraId="54FA781B" w14:textId="359A5DF2" w:rsidR="009B0834" w:rsidRPr="000A60AD" w:rsidRDefault="008B72F2" w:rsidP="000A60AD">
            <w:pPr>
              <w:jc w:val="center"/>
              <w:rPr>
                <w:rFonts w:ascii="Calibri" w:hAnsi="Calibri" w:cs="Calibri"/>
                <w:color w:val="000000"/>
              </w:rPr>
            </w:pPr>
            <w:r>
              <w:rPr>
                <w:rFonts w:ascii="Calibri" w:hAnsi="Calibri" w:cs="Calibri"/>
                <w:color w:val="000000"/>
              </w:rPr>
              <w:t>Day 1</w:t>
            </w:r>
            <w:r w:rsidR="000A60AD">
              <w:rPr>
                <w:rFonts w:ascii="Calibri" w:hAnsi="Calibri" w:cs="Calibri"/>
                <w:color w:val="000000"/>
              </w:rPr>
              <w:t xml:space="preserve"> - </w:t>
            </w:r>
            <w:r>
              <w:rPr>
                <w:rFonts w:ascii="Calibri" w:hAnsi="Calibri" w:cs="Calibri"/>
                <w:color w:val="000000"/>
              </w:rPr>
              <w:t>20</w:t>
            </w:r>
            <w:r w:rsidR="000A60AD" w:rsidRPr="000A60AD">
              <w:rPr>
                <w:rFonts w:ascii="Calibri" w:hAnsi="Calibri" w:cs="Calibri"/>
                <w:color w:val="000000"/>
                <w:vertAlign w:val="superscript"/>
              </w:rPr>
              <w:t>th</w:t>
            </w:r>
            <w:r w:rsidR="000A60AD">
              <w:rPr>
                <w:rFonts w:ascii="Calibri" w:hAnsi="Calibri" w:cs="Calibri"/>
                <w:color w:val="000000"/>
              </w:rPr>
              <w:t xml:space="preserve"> January               </w:t>
            </w:r>
            <w:r>
              <w:rPr>
                <w:rFonts w:ascii="Calibri" w:hAnsi="Calibri" w:cs="Calibri"/>
                <w:color w:val="000000"/>
              </w:rPr>
              <w:t>Day 2</w:t>
            </w:r>
            <w:r w:rsidR="000A60AD">
              <w:rPr>
                <w:rFonts w:ascii="Calibri" w:hAnsi="Calibri" w:cs="Calibri"/>
                <w:color w:val="000000"/>
              </w:rPr>
              <w:t xml:space="preserve"> - 27</w:t>
            </w:r>
            <w:r w:rsidR="000A60AD" w:rsidRPr="000A60AD">
              <w:rPr>
                <w:rFonts w:ascii="Calibri" w:hAnsi="Calibri" w:cs="Calibri"/>
                <w:color w:val="000000"/>
                <w:vertAlign w:val="superscript"/>
              </w:rPr>
              <w:t>th</w:t>
            </w:r>
            <w:r w:rsidR="000A60AD">
              <w:rPr>
                <w:rFonts w:ascii="Calibri" w:hAnsi="Calibri" w:cs="Calibri"/>
                <w:color w:val="000000"/>
              </w:rPr>
              <w:t xml:space="preserve"> January</w:t>
            </w:r>
            <w:r>
              <w:rPr>
                <w:rFonts w:ascii="Calibri" w:hAnsi="Calibri" w:cs="Calibri"/>
                <w:color w:val="000000"/>
              </w:rPr>
              <w:br/>
              <w:t>Day 3</w:t>
            </w:r>
            <w:r w:rsidR="000A60AD">
              <w:rPr>
                <w:rFonts w:ascii="Calibri" w:hAnsi="Calibri" w:cs="Calibri"/>
                <w:color w:val="000000"/>
              </w:rPr>
              <w:t xml:space="preserve"> - 3</w:t>
            </w:r>
            <w:r w:rsidR="000A60AD" w:rsidRPr="000A60AD">
              <w:rPr>
                <w:rFonts w:ascii="Calibri" w:hAnsi="Calibri" w:cs="Calibri"/>
                <w:color w:val="000000"/>
                <w:vertAlign w:val="superscript"/>
              </w:rPr>
              <w:t>rd</w:t>
            </w:r>
            <w:r w:rsidR="000A60AD">
              <w:rPr>
                <w:rFonts w:ascii="Calibri" w:hAnsi="Calibri" w:cs="Calibri"/>
                <w:color w:val="000000"/>
              </w:rPr>
              <w:t xml:space="preserve"> February          </w:t>
            </w:r>
            <w:r>
              <w:rPr>
                <w:rFonts w:ascii="Calibri" w:hAnsi="Calibri" w:cs="Calibri"/>
                <w:color w:val="000000"/>
              </w:rPr>
              <w:t>Day 4</w:t>
            </w:r>
            <w:r w:rsidR="000A60AD">
              <w:rPr>
                <w:rFonts w:ascii="Calibri" w:hAnsi="Calibri" w:cs="Calibri"/>
                <w:color w:val="000000"/>
              </w:rPr>
              <w:t xml:space="preserve"> - 10</w:t>
            </w:r>
            <w:r w:rsidR="000A60AD" w:rsidRPr="000A60AD">
              <w:rPr>
                <w:rFonts w:ascii="Calibri" w:hAnsi="Calibri" w:cs="Calibri"/>
                <w:color w:val="000000"/>
                <w:vertAlign w:val="superscript"/>
              </w:rPr>
              <w:t>th</w:t>
            </w:r>
            <w:r w:rsidR="000A60AD">
              <w:rPr>
                <w:rFonts w:ascii="Calibri" w:hAnsi="Calibri" w:cs="Calibri"/>
                <w:color w:val="000000"/>
              </w:rPr>
              <w:t xml:space="preserve"> February</w:t>
            </w:r>
          </w:p>
        </w:tc>
        <w:tc>
          <w:tcPr>
            <w:tcW w:w="1432" w:type="dxa"/>
            <w:shd w:val="clear" w:color="auto" w:fill="auto"/>
          </w:tcPr>
          <w:p w14:paraId="27DE9660" w14:textId="09EC857B" w:rsidR="009B0834" w:rsidRPr="009B0834" w:rsidRDefault="000A60AD" w:rsidP="00561FA6">
            <w:pPr>
              <w:jc w:val="center"/>
              <w:rPr>
                <w:rFonts w:cstheme="minorHAnsi"/>
                <w:sz w:val="24"/>
                <w:szCs w:val="24"/>
              </w:rPr>
            </w:pPr>
            <w:r>
              <w:rPr>
                <w:rFonts w:cstheme="minorHAnsi"/>
                <w:sz w:val="24"/>
                <w:szCs w:val="24"/>
              </w:rPr>
              <w:t>All days will run from 09:30           to          14:30</w:t>
            </w:r>
          </w:p>
        </w:tc>
        <w:tc>
          <w:tcPr>
            <w:tcW w:w="4494" w:type="dxa"/>
            <w:shd w:val="clear" w:color="auto" w:fill="auto"/>
          </w:tcPr>
          <w:p w14:paraId="213BB04D" w14:textId="477383F6" w:rsidR="009B0834" w:rsidRPr="009B0834" w:rsidRDefault="000A60AD" w:rsidP="000A60AD">
            <w:pPr>
              <w:jc w:val="center"/>
              <w:rPr>
                <w:rFonts w:cstheme="minorHAnsi"/>
                <w:sz w:val="24"/>
                <w:szCs w:val="24"/>
              </w:rPr>
            </w:pPr>
            <w:r>
              <w:rPr>
                <w:rFonts w:cstheme="minorHAnsi"/>
                <w:sz w:val="24"/>
                <w:szCs w:val="24"/>
              </w:rPr>
              <w:t>All dates will be delivered virtually via Zoom. A link will be sent nearer the time.</w:t>
            </w: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5178E4D8" w:rsidR="009B0834" w:rsidRPr="009B0834" w:rsidRDefault="009B0834" w:rsidP="009B0834">
            <w:pPr>
              <w:rPr>
                <w:rFonts w:cstheme="minorHAnsi"/>
                <w:sz w:val="24"/>
                <w:szCs w:val="24"/>
              </w:rPr>
            </w:pPr>
            <w:r w:rsidRPr="009B0834">
              <w:rPr>
                <w:rFonts w:cstheme="minorHAnsi"/>
                <w:sz w:val="24"/>
                <w:szCs w:val="24"/>
              </w:rPr>
              <w:t>Name of company</w:t>
            </w:r>
            <w:r w:rsidR="00DE6BBC">
              <w:rPr>
                <w:rFonts w:cstheme="minorHAnsi"/>
                <w:sz w:val="24"/>
                <w:szCs w:val="24"/>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9B0834" w:rsidRDefault="00071B07" w:rsidP="009B0834">
            <w:pPr>
              <w:rPr>
                <w:rFonts w:cstheme="minorHAnsi"/>
                <w:sz w:val="24"/>
                <w:szCs w:val="24"/>
              </w:rPr>
            </w:pPr>
            <w:r w:rsidRPr="00DE6BBC">
              <w:rPr>
                <w:rFonts w:cstheme="minorHAnsi"/>
                <w:sz w:val="24"/>
                <w:szCs w:val="24"/>
              </w:rPr>
              <w:t xml:space="preserve">Work </w:t>
            </w:r>
            <w:r w:rsidR="009B0834" w:rsidRPr="00DE6BBC">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bl>
    <w:p w14:paraId="65F5417A" w14:textId="0729AF8E" w:rsidR="00F560F9" w:rsidRDefault="00F560F9">
      <w:pPr>
        <w:rPr>
          <w:rFonts w:cstheme="minorHAnsi"/>
          <w:sz w:val="24"/>
          <w:szCs w:val="24"/>
        </w:rPr>
      </w:pPr>
    </w:p>
    <w:p w14:paraId="1EFB0268" w14:textId="2049206F" w:rsidR="009B0834" w:rsidRPr="00DE6BBC" w:rsidRDefault="00071B07" w:rsidP="00DE6BBC">
      <w:pPr>
        <w:jc w:val="center"/>
        <w:rPr>
          <w:rFonts w:cstheme="minorHAnsi"/>
          <w:sz w:val="24"/>
          <w:szCs w:val="24"/>
        </w:rPr>
      </w:pPr>
      <w:r w:rsidRPr="00DE6BBC">
        <w:rPr>
          <w:rFonts w:cstheme="minorHAnsi"/>
          <w:sz w:val="24"/>
          <w:szCs w:val="24"/>
        </w:rPr>
        <w:t>This course is only open to registered adult social care services that are based within the geographical boundaries of Essex County Council.</w:t>
      </w:r>
    </w:p>
    <w:p w14:paraId="7F0AB765" w14:textId="24124E7B"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Please complete the booking table</w:t>
      </w:r>
      <w:r w:rsidR="005A2F79">
        <w:rPr>
          <w:rFonts w:asciiTheme="minorHAnsi" w:hAnsiTheme="minorHAnsi" w:cstheme="minorHAnsi"/>
        </w:rPr>
        <w:t xml:space="preserve">, </w:t>
      </w:r>
      <w:r w:rsidRPr="009B0834">
        <w:rPr>
          <w:rFonts w:asciiTheme="minorHAnsi" w:hAnsiTheme="minorHAnsi" w:cstheme="minorHAnsi"/>
        </w:rPr>
        <w:t xml:space="preserve">return to </w:t>
      </w:r>
      <w:hyperlink r:id="rId11"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w:t>
      </w:r>
      <w:r w:rsidR="005A2F79">
        <w:rPr>
          <w:rStyle w:val="eop"/>
          <w:rFonts w:asciiTheme="minorHAnsi" w:hAnsiTheme="minorHAnsi" w:cstheme="minorHAnsi"/>
        </w:rPr>
        <w:t xml:space="preserve">and await </w:t>
      </w:r>
      <w:r w:rsidRPr="009B0834">
        <w:rPr>
          <w:rStyle w:val="eop"/>
          <w:rFonts w:asciiTheme="minorHAnsi" w:hAnsiTheme="minorHAnsi" w:cstheme="minorHAnsi"/>
        </w:rPr>
        <w:t>booking confirmation.</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071B07">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5320D574" w:rsidR="00CE69F1" w:rsidRPr="009B0834" w:rsidRDefault="00CE69F1" w:rsidP="00071B07">
      <w:pPr>
        <w:spacing w:after="0"/>
        <w:rPr>
          <w:rFonts w:cstheme="minorHAnsi"/>
          <w:sz w:val="24"/>
          <w:szCs w:val="24"/>
        </w:rPr>
      </w:pPr>
      <w:r w:rsidRPr="009B0834">
        <w:rPr>
          <w:rFonts w:cstheme="minorHAnsi"/>
          <w:sz w:val="24"/>
          <w:szCs w:val="24"/>
        </w:rPr>
        <w:t xml:space="preserve">The personal information collected on this form will be used by ECC for the administration of the training/event you have requested.  This information will only be shared with the </w:t>
      </w:r>
      <w:r w:rsidRPr="009B0834">
        <w:rPr>
          <w:rFonts w:cstheme="minorHAnsi"/>
          <w:sz w:val="24"/>
          <w:szCs w:val="24"/>
        </w:rPr>
        <w:lastRenderedPageBreak/>
        <w:t xml:space="preserve">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897F" w14:textId="77777777" w:rsidR="00946B37" w:rsidRDefault="00946B37" w:rsidP="00CE69F1">
      <w:pPr>
        <w:spacing w:after="0" w:line="240" w:lineRule="auto"/>
      </w:pPr>
      <w:r>
        <w:separator/>
      </w:r>
    </w:p>
  </w:endnote>
  <w:endnote w:type="continuationSeparator" w:id="0">
    <w:p w14:paraId="3F81D9DB" w14:textId="77777777" w:rsidR="00946B37" w:rsidRDefault="00946B37"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65D" w14:textId="77777777" w:rsidR="00946B37" w:rsidRDefault="00946B37" w:rsidP="00CE69F1">
      <w:pPr>
        <w:spacing w:after="0" w:line="240" w:lineRule="auto"/>
      </w:pPr>
      <w:r>
        <w:separator/>
      </w:r>
    </w:p>
  </w:footnote>
  <w:footnote w:type="continuationSeparator" w:id="0">
    <w:p w14:paraId="1ADC43BC" w14:textId="77777777" w:rsidR="00946B37" w:rsidRDefault="00946B37"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9E9"/>
    <w:multiLevelType w:val="hybridMultilevel"/>
    <w:tmpl w:val="DB004A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1"/>
  </w:num>
  <w:num w:numId="2" w16cid:durableId="952177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0A60AD"/>
    <w:rsid w:val="00113ED8"/>
    <w:rsid w:val="001563DD"/>
    <w:rsid w:val="00561FA6"/>
    <w:rsid w:val="005A2F79"/>
    <w:rsid w:val="005E6A05"/>
    <w:rsid w:val="00692A0A"/>
    <w:rsid w:val="008319DB"/>
    <w:rsid w:val="00844BBE"/>
    <w:rsid w:val="008B72F2"/>
    <w:rsid w:val="008F3418"/>
    <w:rsid w:val="00946B37"/>
    <w:rsid w:val="00962D7F"/>
    <w:rsid w:val="009B0834"/>
    <w:rsid w:val="00A27B00"/>
    <w:rsid w:val="00AD1CC5"/>
    <w:rsid w:val="00AF0A13"/>
    <w:rsid w:val="00C44C0F"/>
    <w:rsid w:val="00C907FA"/>
    <w:rsid w:val="00CE69F1"/>
    <w:rsid w:val="00D00E91"/>
    <w:rsid w:val="00D46C03"/>
    <w:rsid w:val="00DE6BBC"/>
    <w:rsid w:val="00F22827"/>
    <w:rsid w:val="00F560F9"/>
    <w:rsid w:val="00F90F95"/>
    <w:rsid w:val="00FE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ListParagraph">
    <w:name w:val="List Paragraph"/>
    <w:basedOn w:val="Normal"/>
    <w:uiPriority w:val="34"/>
    <w:qFormat/>
    <w:rsid w:val="00C907FA"/>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920">
      <w:bodyDiv w:val="1"/>
      <w:marLeft w:val="0"/>
      <w:marRight w:val="0"/>
      <w:marTop w:val="0"/>
      <w:marBottom w:val="0"/>
      <w:divBdr>
        <w:top w:val="none" w:sz="0" w:space="0" w:color="auto"/>
        <w:left w:val="none" w:sz="0" w:space="0" w:color="auto"/>
        <w:bottom w:val="none" w:sz="0" w:space="0" w:color="auto"/>
        <w:right w:val="none" w:sz="0" w:space="0" w:color="auto"/>
      </w:divBdr>
    </w:div>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1139802390">
      <w:bodyDiv w:val="1"/>
      <w:marLeft w:val="0"/>
      <w:marRight w:val="0"/>
      <w:marTop w:val="0"/>
      <w:marBottom w:val="0"/>
      <w:divBdr>
        <w:top w:val="none" w:sz="0" w:space="0" w:color="auto"/>
        <w:left w:val="none" w:sz="0" w:space="0" w:color="auto"/>
        <w:bottom w:val="none" w:sz="0" w:space="0" w:color="auto"/>
        <w:right w:val="none" w:sz="0" w:space="0" w:color="auto"/>
      </w:divBdr>
      <w:divsChild>
        <w:div w:id="558827329">
          <w:marLeft w:val="0"/>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2.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3.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11</cp:revision>
  <dcterms:created xsi:type="dcterms:W3CDTF">2024-09-09T14:22:00Z</dcterms:created>
  <dcterms:modified xsi:type="dcterms:W3CDTF">2024-11-11T12:42:00Z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